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firstLine="420"/>
        <w:jc w:val="center"/>
        <w:rPr>
          <w:sz w:val="18"/>
          <w:szCs w:val="18"/>
        </w:rPr>
      </w:pPr>
      <w:r>
        <w:rPr>
          <w:rFonts w:ascii="微软雅黑" w:hAnsi="微软雅黑" w:eastAsia="微软雅黑" w:cs="微软雅黑"/>
          <w:i w:val="0"/>
          <w:iCs w:val="0"/>
          <w:caps w:val="0"/>
          <w:color w:val="000000"/>
          <w:spacing w:val="0"/>
          <w:sz w:val="18"/>
          <w:szCs w:val="18"/>
          <w:bdr w:val="none" w:color="auto" w:sz="0" w:space="0"/>
          <w:shd w:val="clear" w:fill="FFFFFF"/>
        </w:rPr>
        <w:t>山东省推动工业互联网高质量发展</w:t>
      </w:r>
      <w:r>
        <w:rPr>
          <w:rFonts w:hint="eastAsia" w:ascii="微软雅黑" w:hAnsi="微软雅黑" w:eastAsia="微软雅黑" w:cs="微软雅黑"/>
          <w:i w:val="0"/>
          <w:iCs w:val="0"/>
          <w:caps w:val="0"/>
          <w:color w:val="000000"/>
          <w:spacing w:val="0"/>
          <w:sz w:val="18"/>
          <w:szCs w:val="18"/>
          <w:bdr w:val="none" w:color="auto" w:sz="0" w:space="0"/>
          <w:shd w:val="clear" w:fill="FFFFFF"/>
        </w:rPr>
        <w:t>省级财政支持政策实施细则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firstLine="420"/>
        <w:jc w:val="center"/>
        <w:rPr>
          <w:sz w:val="18"/>
          <w:szCs w:val="18"/>
        </w:rPr>
      </w:pPr>
      <w:r>
        <w:rPr>
          <w:rFonts w:hint="eastAsia" w:ascii="微软雅黑" w:hAnsi="微软雅黑" w:eastAsia="微软雅黑" w:cs="微软雅黑"/>
          <w:i w:val="0"/>
          <w:iCs w:val="0"/>
          <w:caps w:val="0"/>
          <w:color w:val="000000"/>
          <w:spacing w:val="0"/>
          <w:sz w:val="18"/>
          <w:szCs w:val="18"/>
          <w:bdr w:val="none" w:color="auto" w:sz="0" w:space="0"/>
          <w:shd w:val="clear" w:fill="FFFFFF"/>
        </w:rPr>
        <w:t>第一章  总则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firstLine="420"/>
        <w:jc w:val="left"/>
        <w:rPr>
          <w:sz w:val="18"/>
          <w:szCs w:val="18"/>
        </w:rPr>
      </w:pPr>
      <w:r>
        <w:rPr>
          <w:rFonts w:hint="eastAsia" w:ascii="微软雅黑" w:hAnsi="微软雅黑" w:eastAsia="微软雅黑" w:cs="微软雅黑"/>
          <w:i w:val="0"/>
          <w:iCs w:val="0"/>
          <w:caps w:val="0"/>
          <w:color w:val="000000"/>
          <w:spacing w:val="0"/>
          <w:sz w:val="18"/>
          <w:szCs w:val="18"/>
          <w:bdr w:val="none" w:color="auto" w:sz="0" w:space="0"/>
          <w:shd w:val="clear" w:fill="FFFFFF"/>
        </w:rPr>
        <w:t>第一条  为贯彻落实《山东省人</w:t>
      </w:r>
      <w:bookmarkStart w:id="0" w:name="_GoBack"/>
      <w:bookmarkEnd w:id="0"/>
      <w:r>
        <w:rPr>
          <w:rFonts w:hint="eastAsia" w:ascii="微软雅黑" w:hAnsi="微软雅黑" w:eastAsia="微软雅黑" w:cs="微软雅黑"/>
          <w:i w:val="0"/>
          <w:iCs w:val="0"/>
          <w:caps w:val="0"/>
          <w:color w:val="000000"/>
          <w:spacing w:val="0"/>
          <w:sz w:val="18"/>
          <w:szCs w:val="18"/>
          <w:bdr w:val="none" w:color="auto" w:sz="0" w:space="0"/>
          <w:shd w:val="clear" w:fill="FFFFFF"/>
        </w:rPr>
        <w:t>民政府办公厅关于加快工业互联网发展若干措施的通知》《山东省人民政府关于印发2022年“稳中求进”高质量发展政策清单（第一批）的通知》等文件精神,发挥财政资金引导作用,加快推进工业互联网创新发展,助力全省新旧动能转换,制定本细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firstLine="420"/>
        <w:jc w:val="left"/>
        <w:rPr>
          <w:sz w:val="18"/>
          <w:szCs w:val="18"/>
        </w:rPr>
      </w:pPr>
      <w:r>
        <w:rPr>
          <w:rFonts w:hint="eastAsia" w:ascii="微软雅黑" w:hAnsi="微软雅黑" w:eastAsia="微软雅黑" w:cs="微软雅黑"/>
          <w:i w:val="0"/>
          <w:iCs w:val="0"/>
          <w:caps w:val="0"/>
          <w:color w:val="000000"/>
          <w:spacing w:val="0"/>
          <w:sz w:val="18"/>
          <w:szCs w:val="18"/>
          <w:bdr w:val="none" w:color="auto" w:sz="0" w:space="0"/>
          <w:shd w:val="clear" w:fill="FFFFFF"/>
        </w:rPr>
        <w:t>第二条  工业互联网发展省级财政支持资金,通过中央财政转移支付和省级财政预算统筹安排,实行总额控制。</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firstLine="420"/>
        <w:jc w:val="left"/>
        <w:rPr>
          <w:sz w:val="18"/>
          <w:szCs w:val="18"/>
        </w:rPr>
      </w:pPr>
      <w:r>
        <w:rPr>
          <w:rFonts w:hint="eastAsia" w:ascii="微软雅黑" w:hAnsi="微软雅黑" w:eastAsia="微软雅黑" w:cs="微软雅黑"/>
          <w:i w:val="0"/>
          <w:iCs w:val="0"/>
          <w:caps w:val="0"/>
          <w:color w:val="000000"/>
          <w:spacing w:val="0"/>
          <w:sz w:val="18"/>
          <w:szCs w:val="18"/>
          <w:bdr w:val="none" w:color="auto" w:sz="0" w:space="0"/>
          <w:shd w:val="clear" w:fill="FFFFFF"/>
        </w:rPr>
        <w:t>第三条  工业互联网发展省级财政支持资金由省工业和信息化厅会同省财政厅负责。其中,省工业和信息化厅负责项目申报、预算编报和执行,开展绩效自评等工作。省财政厅牵头负责政策资金的筹集、拨付及绩效管理。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firstLine="420"/>
        <w:jc w:val="center"/>
        <w:rPr>
          <w:sz w:val="18"/>
          <w:szCs w:val="18"/>
        </w:rPr>
      </w:pPr>
      <w:r>
        <w:rPr>
          <w:rFonts w:hint="eastAsia" w:ascii="微软雅黑" w:hAnsi="微软雅黑" w:eastAsia="微软雅黑" w:cs="微软雅黑"/>
          <w:i w:val="0"/>
          <w:iCs w:val="0"/>
          <w:caps w:val="0"/>
          <w:color w:val="000000"/>
          <w:spacing w:val="0"/>
          <w:sz w:val="18"/>
          <w:szCs w:val="18"/>
          <w:bdr w:val="none" w:color="auto" w:sz="0" w:space="0"/>
          <w:shd w:val="clear" w:fill="FFFFFF"/>
        </w:rPr>
        <w:t>第二章  支持范围和方式</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firstLine="420"/>
        <w:jc w:val="left"/>
        <w:rPr>
          <w:sz w:val="18"/>
          <w:szCs w:val="18"/>
        </w:rPr>
      </w:pPr>
      <w:r>
        <w:rPr>
          <w:rFonts w:hint="eastAsia" w:ascii="微软雅黑" w:hAnsi="微软雅黑" w:eastAsia="微软雅黑" w:cs="微软雅黑"/>
          <w:i w:val="0"/>
          <w:iCs w:val="0"/>
          <w:caps w:val="0"/>
          <w:color w:val="000000"/>
          <w:spacing w:val="0"/>
          <w:sz w:val="18"/>
          <w:szCs w:val="18"/>
          <w:bdr w:val="none" w:color="auto" w:sz="0" w:space="0"/>
          <w:shd w:val="clear" w:fill="FFFFFF"/>
        </w:rPr>
        <w:t>第四条  省级财政综合采取财政奖补、股权投资等方式，对工业互联网领域相关园区、平台、企业或项目给予支持。</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firstLine="420"/>
        <w:jc w:val="left"/>
        <w:rPr>
          <w:sz w:val="18"/>
          <w:szCs w:val="18"/>
        </w:rPr>
      </w:pPr>
      <w:r>
        <w:rPr>
          <w:rFonts w:hint="eastAsia" w:ascii="微软雅黑" w:hAnsi="微软雅黑" w:eastAsia="微软雅黑" w:cs="微软雅黑"/>
          <w:i w:val="0"/>
          <w:iCs w:val="0"/>
          <w:caps w:val="0"/>
          <w:color w:val="000000"/>
          <w:spacing w:val="0"/>
          <w:sz w:val="18"/>
          <w:szCs w:val="18"/>
          <w:bdr w:val="none" w:color="auto" w:sz="0" w:space="0"/>
          <w:shd w:val="clear" w:fill="FFFFFF"/>
        </w:rPr>
        <w:t>（一）工业互联网平台主要是指面向制造业数字化、网络化、智能化需求，构建基于海量数据采集、汇聚、分析的服务体系，支撑制造资源泛在连接、弹性供给、高效配置的工业云平台。</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firstLine="420"/>
        <w:jc w:val="left"/>
        <w:rPr>
          <w:sz w:val="18"/>
          <w:szCs w:val="18"/>
        </w:rPr>
      </w:pPr>
      <w:r>
        <w:rPr>
          <w:rFonts w:hint="eastAsia" w:ascii="微软雅黑" w:hAnsi="微软雅黑" w:eastAsia="微软雅黑" w:cs="微软雅黑"/>
          <w:i w:val="0"/>
          <w:iCs w:val="0"/>
          <w:caps w:val="0"/>
          <w:color w:val="000000"/>
          <w:spacing w:val="0"/>
          <w:sz w:val="18"/>
          <w:szCs w:val="18"/>
          <w:bdr w:val="none" w:color="auto" w:sz="0" w:space="0"/>
          <w:shd w:val="clear" w:fill="FFFFFF"/>
        </w:rPr>
        <w:t>（二）工业互联网园区主要是指由多个具有独立法人的工业企业构成，企业之间以工业互联网为基础、相互联系且地理边界与管理主体明确，园区内产业集群的地理位置集中、信息基础设施和管理体系完善、以工业互联网引领带动实体经济振兴的区域。</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firstLine="420"/>
        <w:jc w:val="left"/>
        <w:rPr>
          <w:sz w:val="18"/>
          <w:szCs w:val="18"/>
        </w:rPr>
      </w:pPr>
      <w:r>
        <w:rPr>
          <w:rFonts w:hint="eastAsia" w:ascii="微软雅黑" w:hAnsi="微软雅黑" w:eastAsia="微软雅黑" w:cs="微软雅黑"/>
          <w:i w:val="0"/>
          <w:iCs w:val="0"/>
          <w:caps w:val="0"/>
          <w:color w:val="000000"/>
          <w:spacing w:val="0"/>
          <w:sz w:val="18"/>
          <w:szCs w:val="18"/>
          <w:bdr w:val="none" w:color="auto" w:sz="0" w:space="0"/>
          <w:shd w:val="clear" w:fill="FFFFFF"/>
        </w:rPr>
        <w:t>（三）工业互联网标识解析二级节点，主要是指是一个行业或者区域内部的标识解析公共服务节点，能够面向行业或区域提供标识编码注册和标识解析服务，以及完成相关的标识业务管理、标识应用对接等。</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firstLine="420"/>
        <w:jc w:val="left"/>
        <w:rPr>
          <w:sz w:val="18"/>
          <w:szCs w:val="18"/>
        </w:rPr>
      </w:pPr>
      <w:r>
        <w:rPr>
          <w:rFonts w:hint="eastAsia" w:ascii="微软雅黑" w:hAnsi="微软雅黑" w:eastAsia="微软雅黑" w:cs="微软雅黑"/>
          <w:i w:val="0"/>
          <w:iCs w:val="0"/>
          <w:caps w:val="0"/>
          <w:color w:val="000000"/>
          <w:spacing w:val="0"/>
          <w:sz w:val="18"/>
          <w:szCs w:val="18"/>
          <w:bdr w:val="none" w:color="auto" w:sz="0" w:space="0"/>
          <w:shd w:val="clear" w:fill="FFFFFF"/>
        </w:rPr>
        <w:t>第五条对主营业务收入、工业设备连接数、用户及开发者数、服务中小企业数等指标综合排名前10位的省级以上工业互联网平台，省财政按其上年度实际服务企业上云上平台收入总额的10%-30%，每个给予最高200万元奖补。两年内获得过工业互联网平台评价奖补资金的，不再重复奖励。</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firstLine="420"/>
        <w:jc w:val="left"/>
        <w:rPr>
          <w:sz w:val="18"/>
          <w:szCs w:val="18"/>
        </w:rPr>
      </w:pPr>
      <w:r>
        <w:rPr>
          <w:rFonts w:hint="eastAsia" w:ascii="微软雅黑" w:hAnsi="微软雅黑" w:eastAsia="微软雅黑" w:cs="微软雅黑"/>
          <w:i w:val="0"/>
          <w:iCs w:val="0"/>
          <w:caps w:val="0"/>
          <w:color w:val="000000"/>
          <w:spacing w:val="0"/>
          <w:sz w:val="18"/>
          <w:szCs w:val="18"/>
          <w:bdr w:val="none" w:color="auto" w:sz="0" w:space="0"/>
          <w:shd w:val="clear" w:fill="FFFFFF"/>
        </w:rPr>
        <w:t>第六条支持工业互联网平台做大做强，对2022年新入选国家级跨行业跨领域工业互联网平台的，给予最高1000万元的一次性奖补。</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firstLine="420"/>
        <w:jc w:val="left"/>
        <w:rPr>
          <w:sz w:val="18"/>
          <w:szCs w:val="18"/>
        </w:rPr>
      </w:pPr>
      <w:r>
        <w:rPr>
          <w:rFonts w:hint="eastAsia" w:ascii="微软雅黑" w:hAnsi="微软雅黑" w:eastAsia="微软雅黑" w:cs="微软雅黑"/>
          <w:i w:val="0"/>
          <w:iCs w:val="0"/>
          <w:caps w:val="0"/>
          <w:color w:val="000000"/>
          <w:spacing w:val="0"/>
          <w:sz w:val="18"/>
          <w:szCs w:val="18"/>
          <w:bdr w:val="none" w:color="auto" w:sz="0" w:space="0"/>
          <w:shd w:val="clear" w:fill="FFFFFF"/>
        </w:rPr>
        <w:t>第七条对园区工业互联网公共服务平台、工业互联网建设应用、企业上云、5G网络覆盖等综合指标排名前5位的工业互联网园区，给予最高500万元奖补。</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firstLine="420"/>
        <w:jc w:val="left"/>
        <w:rPr>
          <w:sz w:val="18"/>
          <w:szCs w:val="18"/>
        </w:rPr>
      </w:pPr>
      <w:r>
        <w:rPr>
          <w:rFonts w:hint="eastAsia" w:ascii="微软雅黑" w:hAnsi="微软雅黑" w:eastAsia="微软雅黑" w:cs="微软雅黑"/>
          <w:i w:val="0"/>
          <w:iCs w:val="0"/>
          <w:caps w:val="0"/>
          <w:color w:val="000000"/>
          <w:spacing w:val="0"/>
          <w:sz w:val="18"/>
          <w:szCs w:val="18"/>
          <w:bdr w:val="none" w:color="auto" w:sz="0" w:space="0"/>
          <w:shd w:val="clear" w:fill="FFFFFF"/>
        </w:rPr>
        <w:t>第八条对商业模式清晰，且标识解析注册量、标识解析量等指标综合排名前5的二级节点，给予最高500万元奖补。两年内获得过标识解析二级节点奖补资金的，不再重复奖励。</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firstLine="420"/>
        <w:jc w:val="left"/>
        <w:rPr>
          <w:sz w:val="18"/>
          <w:szCs w:val="18"/>
        </w:rPr>
      </w:pPr>
      <w:r>
        <w:rPr>
          <w:rFonts w:hint="eastAsia" w:ascii="微软雅黑" w:hAnsi="微软雅黑" w:eastAsia="微软雅黑" w:cs="微软雅黑"/>
          <w:i w:val="0"/>
          <w:iCs w:val="0"/>
          <w:caps w:val="0"/>
          <w:color w:val="000000"/>
          <w:spacing w:val="0"/>
          <w:sz w:val="18"/>
          <w:szCs w:val="18"/>
          <w:bdr w:val="none" w:color="auto" w:sz="0" w:space="0"/>
          <w:shd w:val="clear" w:fill="FFFFFF"/>
        </w:rPr>
        <w:t>第九条  对工业互联网领域具有引领带动作用、关系经济社会长远发展的重大成果转化和产业调整项目，择优给予财政资金股权投资支持，财政资金参股比例原则上不超过被投资企业总股本的25%，参股期限一般为3-5年。重点支持以下几个方向：</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firstLine="420"/>
        <w:jc w:val="left"/>
        <w:rPr>
          <w:sz w:val="18"/>
          <w:szCs w:val="18"/>
        </w:rPr>
      </w:pPr>
      <w:r>
        <w:rPr>
          <w:rFonts w:hint="eastAsia" w:ascii="微软雅黑" w:hAnsi="微软雅黑" w:eastAsia="微软雅黑" w:cs="微软雅黑"/>
          <w:i w:val="0"/>
          <w:iCs w:val="0"/>
          <w:caps w:val="0"/>
          <w:color w:val="000000"/>
          <w:spacing w:val="0"/>
          <w:sz w:val="18"/>
          <w:szCs w:val="18"/>
          <w:bdr w:val="none" w:color="auto" w:sz="0" w:space="0"/>
          <w:shd w:val="clear" w:fill="FFFFFF"/>
        </w:rPr>
        <w:t>（一）服务工业发展的工业软件企业、工业控制企业、工业互联网解决方案提供商企业项目；</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firstLine="420"/>
        <w:jc w:val="left"/>
        <w:rPr>
          <w:sz w:val="18"/>
          <w:szCs w:val="18"/>
        </w:rPr>
      </w:pPr>
      <w:r>
        <w:rPr>
          <w:rFonts w:hint="eastAsia" w:ascii="微软雅黑" w:hAnsi="微软雅黑" w:eastAsia="微软雅黑" w:cs="微软雅黑"/>
          <w:i w:val="0"/>
          <w:iCs w:val="0"/>
          <w:caps w:val="0"/>
          <w:color w:val="000000"/>
          <w:spacing w:val="0"/>
          <w:sz w:val="18"/>
          <w:szCs w:val="18"/>
          <w:bdr w:val="none" w:color="auto" w:sz="0" w:space="0"/>
          <w:shd w:val="clear" w:fill="FFFFFF"/>
        </w:rPr>
        <w:t>（二）推动标识解析系统与工业互联网平台、工业APP等融合发展的企业项目；</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firstLine="420"/>
        <w:jc w:val="left"/>
        <w:rPr>
          <w:sz w:val="18"/>
          <w:szCs w:val="18"/>
        </w:rPr>
      </w:pPr>
      <w:r>
        <w:rPr>
          <w:rFonts w:hint="eastAsia" w:ascii="微软雅黑" w:hAnsi="微软雅黑" w:eastAsia="微软雅黑" w:cs="微软雅黑"/>
          <w:i w:val="0"/>
          <w:iCs w:val="0"/>
          <w:caps w:val="0"/>
          <w:color w:val="000000"/>
          <w:spacing w:val="0"/>
          <w:sz w:val="18"/>
          <w:szCs w:val="18"/>
          <w:bdr w:val="none" w:color="auto" w:sz="0" w:space="0"/>
          <w:shd w:val="clear" w:fill="FFFFFF"/>
        </w:rPr>
        <w:t>（三）数字基础好、带动效应强、工业设备和业务系统上云上平台的企业项目。</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firstLine="420"/>
        <w:jc w:val="left"/>
        <w:rPr>
          <w:sz w:val="18"/>
          <w:szCs w:val="18"/>
        </w:rPr>
      </w:pPr>
      <w:r>
        <w:rPr>
          <w:rFonts w:hint="eastAsia" w:ascii="微软雅黑" w:hAnsi="微软雅黑" w:eastAsia="微软雅黑" w:cs="微软雅黑"/>
          <w:i w:val="0"/>
          <w:iCs w:val="0"/>
          <w:caps w:val="0"/>
          <w:color w:val="000000"/>
          <w:spacing w:val="0"/>
          <w:sz w:val="18"/>
          <w:szCs w:val="18"/>
          <w:bdr w:val="none" w:color="auto" w:sz="0" w:space="0"/>
          <w:shd w:val="clear" w:fill="FFFFFF"/>
        </w:rPr>
        <w:t>第十条  以上支持政策原则上同一法人单位年度内只能享受一次。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firstLine="420"/>
        <w:jc w:val="center"/>
        <w:rPr>
          <w:sz w:val="18"/>
          <w:szCs w:val="18"/>
        </w:rPr>
      </w:pPr>
      <w:r>
        <w:rPr>
          <w:rFonts w:hint="eastAsia" w:ascii="微软雅黑" w:hAnsi="微软雅黑" w:eastAsia="微软雅黑" w:cs="微软雅黑"/>
          <w:i w:val="0"/>
          <w:iCs w:val="0"/>
          <w:caps w:val="0"/>
          <w:color w:val="000000"/>
          <w:spacing w:val="0"/>
          <w:sz w:val="18"/>
          <w:szCs w:val="18"/>
          <w:bdr w:val="none" w:color="auto" w:sz="0" w:space="0"/>
          <w:shd w:val="clear" w:fill="FFFFFF"/>
        </w:rPr>
        <w:t>第三章  支持条件</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firstLine="420"/>
        <w:jc w:val="left"/>
        <w:rPr>
          <w:sz w:val="18"/>
          <w:szCs w:val="18"/>
        </w:rPr>
      </w:pPr>
      <w:r>
        <w:rPr>
          <w:rFonts w:hint="eastAsia" w:ascii="微软雅黑" w:hAnsi="微软雅黑" w:eastAsia="微软雅黑" w:cs="微软雅黑"/>
          <w:i w:val="0"/>
          <w:iCs w:val="0"/>
          <w:caps w:val="0"/>
          <w:color w:val="000000"/>
          <w:spacing w:val="0"/>
          <w:sz w:val="18"/>
          <w:szCs w:val="18"/>
          <w:bdr w:val="none" w:color="auto" w:sz="0" w:space="0"/>
          <w:shd w:val="clear" w:fill="FFFFFF"/>
        </w:rPr>
        <w:t>第十一条  省级工业互联网财政激励政策的申报主体，须为在山东省境内登记注册并实际运营、具有独立法人资格的企业或机构，依法纳税。有下列情形之一的不得申报：</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firstLine="420"/>
        <w:jc w:val="left"/>
        <w:rPr>
          <w:sz w:val="18"/>
          <w:szCs w:val="18"/>
        </w:rPr>
      </w:pPr>
      <w:r>
        <w:rPr>
          <w:rFonts w:hint="eastAsia" w:ascii="微软雅黑" w:hAnsi="微软雅黑" w:eastAsia="微软雅黑" w:cs="微软雅黑"/>
          <w:i w:val="0"/>
          <w:iCs w:val="0"/>
          <w:caps w:val="0"/>
          <w:color w:val="000000"/>
          <w:spacing w:val="0"/>
          <w:sz w:val="18"/>
          <w:szCs w:val="18"/>
          <w:bdr w:val="none" w:color="auto" w:sz="0" w:space="0"/>
          <w:shd w:val="clear" w:fill="FFFFFF"/>
        </w:rPr>
        <w:t>（一）近三年发生过重大安全生产事故、环境污染事故，存在严重产品质量问题或造成恶劣影响的社会稳定事件；</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firstLine="420"/>
        <w:jc w:val="left"/>
        <w:rPr>
          <w:sz w:val="18"/>
          <w:szCs w:val="18"/>
        </w:rPr>
      </w:pPr>
      <w:r>
        <w:rPr>
          <w:rFonts w:hint="eastAsia" w:ascii="微软雅黑" w:hAnsi="微软雅黑" w:eastAsia="微软雅黑" w:cs="微软雅黑"/>
          <w:i w:val="0"/>
          <w:iCs w:val="0"/>
          <w:caps w:val="0"/>
          <w:color w:val="000000"/>
          <w:spacing w:val="0"/>
          <w:sz w:val="18"/>
          <w:szCs w:val="18"/>
          <w:bdr w:val="none" w:color="auto" w:sz="0" w:space="0"/>
          <w:shd w:val="clear" w:fill="FFFFFF"/>
        </w:rPr>
        <w:t>（二）被列入应急管理部门建立的安全生产不良记录“黑名单”；</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firstLine="420"/>
        <w:jc w:val="left"/>
        <w:rPr>
          <w:sz w:val="18"/>
          <w:szCs w:val="18"/>
        </w:rPr>
      </w:pPr>
      <w:r>
        <w:rPr>
          <w:rFonts w:hint="eastAsia" w:ascii="微软雅黑" w:hAnsi="微软雅黑" w:eastAsia="微软雅黑" w:cs="微软雅黑"/>
          <w:i w:val="0"/>
          <w:iCs w:val="0"/>
          <w:caps w:val="0"/>
          <w:color w:val="000000"/>
          <w:spacing w:val="0"/>
          <w:sz w:val="18"/>
          <w:szCs w:val="18"/>
          <w:bdr w:val="none" w:color="auto" w:sz="0" w:space="0"/>
          <w:shd w:val="clear" w:fill="FFFFFF"/>
        </w:rPr>
        <w:t>（三）不符合财政涉企资金“绿色门槛”制度要求；</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firstLine="420"/>
        <w:jc w:val="left"/>
        <w:rPr>
          <w:sz w:val="18"/>
          <w:szCs w:val="18"/>
        </w:rPr>
      </w:pPr>
      <w:r>
        <w:rPr>
          <w:rFonts w:hint="eastAsia" w:ascii="微软雅黑" w:hAnsi="微软雅黑" w:eastAsia="微软雅黑" w:cs="微软雅黑"/>
          <w:i w:val="0"/>
          <w:iCs w:val="0"/>
          <w:caps w:val="0"/>
          <w:color w:val="000000"/>
          <w:spacing w:val="0"/>
          <w:sz w:val="18"/>
          <w:szCs w:val="18"/>
          <w:bdr w:val="none" w:color="auto" w:sz="0" w:space="0"/>
          <w:shd w:val="clear" w:fill="FFFFFF"/>
        </w:rPr>
        <w:t>（四）单位或法定代表人被纳入严重失信“黑名单”；</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firstLine="420"/>
        <w:jc w:val="left"/>
        <w:rPr>
          <w:sz w:val="18"/>
          <w:szCs w:val="18"/>
        </w:rPr>
      </w:pPr>
      <w:r>
        <w:rPr>
          <w:rFonts w:hint="eastAsia" w:ascii="微软雅黑" w:hAnsi="微软雅黑" w:eastAsia="微软雅黑" w:cs="微软雅黑"/>
          <w:i w:val="0"/>
          <w:iCs w:val="0"/>
          <w:caps w:val="0"/>
          <w:color w:val="000000"/>
          <w:spacing w:val="0"/>
          <w:sz w:val="18"/>
          <w:szCs w:val="18"/>
          <w:bdr w:val="none" w:color="auto" w:sz="0" w:space="0"/>
          <w:shd w:val="clear" w:fill="FFFFFF"/>
        </w:rPr>
        <w:t>（五）不符合国家和省产业政策导向。</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firstLine="420"/>
        <w:jc w:val="left"/>
        <w:rPr>
          <w:sz w:val="18"/>
          <w:szCs w:val="18"/>
        </w:rPr>
      </w:pPr>
      <w:r>
        <w:rPr>
          <w:rFonts w:hint="eastAsia" w:ascii="微软雅黑" w:hAnsi="微软雅黑" w:eastAsia="微软雅黑" w:cs="微软雅黑"/>
          <w:i w:val="0"/>
          <w:iCs w:val="0"/>
          <w:caps w:val="0"/>
          <w:color w:val="000000"/>
          <w:spacing w:val="0"/>
          <w:sz w:val="18"/>
          <w:szCs w:val="18"/>
          <w:bdr w:val="none" w:color="auto" w:sz="0" w:space="0"/>
          <w:shd w:val="clear" w:fill="FFFFFF"/>
        </w:rPr>
        <w:t>第十二条  申报工业互联网平台奖补的主体，需符合以下条件：</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firstLine="420"/>
        <w:jc w:val="left"/>
        <w:rPr>
          <w:sz w:val="18"/>
          <w:szCs w:val="18"/>
        </w:rPr>
      </w:pPr>
      <w:r>
        <w:rPr>
          <w:rFonts w:hint="eastAsia" w:ascii="微软雅黑" w:hAnsi="微软雅黑" w:eastAsia="微软雅黑" w:cs="微软雅黑"/>
          <w:i w:val="0"/>
          <w:iCs w:val="0"/>
          <w:caps w:val="0"/>
          <w:color w:val="000000"/>
          <w:spacing w:val="0"/>
          <w:sz w:val="18"/>
          <w:szCs w:val="18"/>
          <w:bdr w:val="none" w:color="auto" w:sz="0" w:space="0"/>
          <w:shd w:val="clear" w:fill="FFFFFF"/>
        </w:rPr>
        <w:t>（一）是工业互联网平台的产权拥有者；</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firstLine="420"/>
        <w:jc w:val="left"/>
        <w:rPr>
          <w:sz w:val="18"/>
          <w:szCs w:val="18"/>
        </w:rPr>
      </w:pPr>
      <w:r>
        <w:rPr>
          <w:rFonts w:hint="eastAsia" w:ascii="微软雅黑" w:hAnsi="微软雅黑" w:eastAsia="微软雅黑" w:cs="微软雅黑"/>
          <w:i w:val="0"/>
          <w:iCs w:val="0"/>
          <w:caps w:val="0"/>
          <w:color w:val="000000"/>
          <w:spacing w:val="0"/>
          <w:sz w:val="18"/>
          <w:szCs w:val="18"/>
          <w:bdr w:val="none" w:color="auto" w:sz="0" w:space="0"/>
          <w:shd w:val="clear" w:fill="FFFFFF"/>
        </w:rPr>
        <w:t>（二）属于国家级“双跨”平台、国家级特色专业型平台、省级工业互联网平台；</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firstLine="420"/>
        <w:jc w:val="left"/>
        <w:rPr>
          <w:sz w:val="18"/>
          <w:szCs w:val="18"/>
        </w:rPr>
      </w:pPr>
      <w:r>
        <w:rPr>
          <w:rFonts w:hint="eastAsia" w:ascii="微软雅黑" w:hAnsi="微软雅黑" w:eastAsia="微软雅黑" w:cs="微软雅黑"/>
          <w:i w:val="0"/>
          <w:iCs w:val="0"/>
          <w:caps w:val="0"/>
          <w:color w:val="000000"/>
          <w:spacing w:val="0"/>
          <w:sz w:val="18"/>
          <w:szCs w:val="18"/>
          <w:bdr w:val="none" w:color="auto" w:sz="0" w:space="0"/>
          <w:shd w:val="clear" w:fill="FFFFFF"/>
        </w:rPr>
        <w:t>（三）平台已建成并运营，有综合实力、有精准定位、有用户基础、有发展前景，具有成熟的服务方案以及中长期发展规划；</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firstLine="420"/>
        <w:jc w:val="left"/>
        <w:rPr>
          <w:sz w:val="18"/>
          <w:szCs w:val="18"/>
        </w:rPr>
      </w:pPr>
      <w:r>
        <w:rPr>
          <w:rFonts w:hint="eastAsia" w:ascii="微软雅黑" w:hAnsi="微软雅黑" w:eastAsia="微软雅黑" w:cs="微软雅黑"/>
          <w:i w:val="0"/>
          <w:iCs w:val="0"/>
          <w:caps w:val="0"/>
          <w:color w:val="000000"/>
          <w:spacing w:val="0"/>
          <w:sz w:val="18"/>
          <w:szCs w:val="18"/>
          <w:bdr w:val="none" w:color="auto" w:sz="0" w:space="0"/>
          <w:shd w:val="clear" w:fill="FFFFFF"/>
        </w:rPr>
        <w:t>（四）平台具备核心竞争力，在大数据、云计算、物联网等新技术领域有一定的积累和应用，具有相应的技术、服务和安全保障能力；</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firstLine="420"/>
        <w:jc w:val="left"/>
        <w:rPr>
          <w:sz w:val="18"/>
          <w:szCs w:val="18"/>
        </w:rPr>
      </w:pPr>
      <w:r>
        <w:rPr>
          <w:rFonts w:hint="eastAsia" w:ascii="微软雅黑" w:hAnsi="微软雅黑" w:eastAsia="微软雅黑" w:cs="微软雅黑"/>
          <w:i w:val="0"/>
          <w:iCs w:val="0"/>
          <w:caps w:val="0"/>
          <w:color w:val="000000"/>
          <w:spacing w:val="0"/>
          <w:sz w:val="18"/>
          <w:szCs w:val="18"/>
          <w:bdr w:val="none" w:color="auto" w:sz="0" w:space="0"/>
          <w:shd w:val="clear" w:fill="FFFFFF"/>
        </w:rPr>
        <w:t>（五）年度实际服务企业上云上平台收入总额不低于100万元。</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firstLine="420"/>
        <w:jc w:val="left"/>
        <w:rPr>
          <w:sz w:val="18"/>
          <w:szCs w:val="18"/>
        </w:rPr>
      </w:pPr>
      <w:r>
        <w:rPr>
          <w:rFonts w:hint="eastAsia" w:ascii="微软雅黑" w:hAnsi="微软雅黑" w:eastAsia="微软雅黑" w:cs="微软雅黑"/>
          <w:i w:val="0"/>
          <w:iCs w:val="0"/>
          <w:caps w:val="0"/>
          <w:color w:val="000000"/>
          <w:spacing w:val="0"/>
          <w:sz w:val="18"/>
          <w:szCs w:val="18"/>
          <w:bdr w:val="none" w:color="auto" w:sz="0" w:space="0"/>
          <w:shd w:val="clear" w:fill="FFFFFF"/>
        </w:rPr>
        <w:t>第十三条   申报国家级跨行业跨领域工业互联网平台奖补的主体，需符合以下条件：</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firstLine="420"/>
        <w:jc w:val="left"/>
        <w:rPr>
          <w:sz w:val="18"/>
          <w:szCs w:val="18"/>
        </w:rPr>
      </w:pPr>
      <w:r>
        <w:rPr>
          <w:rFonts w:hint="eastAsia" w:ascii="微软雅黑" w:hAnsi="微软雅黑" w:eastAsia="微软雅黑" w:cs="微软雅黑"/>
          <w:i w:val="0"/>
          <w:iCs w:val="0"/>
          <w:caps w:val="0"/>
          <w:color w:val="000000"/>
          <w:spacing w:val="0"/>
          <w:sz w:val="18"/>
          <w:szCs w:val="18"/>
          <w:bdr w:val="none" w:color="auto" w:sz="0" w:space="0"/>
          <w:shd w:val="clear" w:fill="FFFFFF"/>
        </w:rPr>
        <w:t>（一）是工业互联网平台的产权拥有者；</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firstLine="420"/>
        <w:jc w:val="left"/>
        <w:rPr>
          <w:sz w:val="18"/>
          <w:szCs w:val="18"/>
        </w:rPr>
      </w:pPr>
      <w:r>
        <w:rPr>
          <w:rFonts w:hint="eastAsia" w:ascii="微软雅黑" w:hAnsi="微软雅黑" w:eastAsia="微软雅黑" w:cs="微软雅黑"/>
          <w:i w:val="0"/>
          <w:iCs w:val="0"/>
          <w:caps w:val="0"/>
          <w:color w:val="000000"/>
          <w:spacing w:val="0"/>
          <w:sz w:val="18"/>
          <w:szCs w:val="18"/>
          <w:bdr w:val="none" w:color="auto" w:sz="0" w:space="0"/>
          <w:shd w:val="clear" w:fill="FFFFFF"/>
        </w:rPr>
        <w:t>（二）属于2022年新增国家级跨行业跨领域工业互联网平台。</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firstLine="420"/>
        <w:jc w:val="left"/>
        <w:rPr>
          <w:sz w:val="18"/>
          <w:szCs w:val="18"/>
        </w:rPr>
      </w:pPr>
      <w:r>
        <w:rPr>
          <w:rFonts w:hint="eastAsia" w:ascii="微软雅黑" w:hAnsi="微软雅黑" w:eastAsia="微软雅黑" w:cs="微软雅黑"/>
          <w:i w:val="0"/>
          <w:iCs w:val="0"/>
          <w:caps w:val="0"/>
          <w:color w:val="000000"/>
          <w:spacing w:val="0"/>
          <w:sz w:val="18"/>
          <w:szCs w:val="18"/>
          <w:bdr w:val="none" w:color="auto" w:sz="0" w:space="0"/>
          <w:shd w:val="clear" w:fill="FFFFFF"/>
        </w:rPr>
        <w:t>第十四条  申报工业互联网园区奖补的主体，需符合以下条件：</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firstLine="420"/>
        <w:jc w:val="left"/>
        <w:rPr>
          <w:sz w:val="18"/>
          <w:szCs w:val="18"/>
        </w:rPr>
      </w:pPr>
      <w:r>
        <w:rPr>
          <w:rFonts w:hint="eastAsia" w:ascii="微软雅黑" w:hAnsi="微软雅黑" w:eastAsia="微软雅黑" w:cs="微软雅黑"/>
          <w:i w:val="0"/>
          <w:iCs w:val="0"/>
          <w:caps w:val="0"/>
          <w:color w:val="000000"/>
          <w:spacing w:val="0"/>
          <w:sz w:val="18"/>
          <w:szCs w:val="18"/>
          <w:bdr w:val="none" w:color="auto" w:sz="0" w:space="0"/>
          <w:shd w:val="clear" w:fill="FFFFFF"/>
        </w:rPr>
        <w:t>（一）属于山东省内的设区市级及以上高新技术开发区、经济开发区、工业园区、产业园区等，并经设区市级及以上人民政府认定为专门运营管理单位，管理主体明确；</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firstLine="420"/>
        <w:jc w:val="left"/>
        <w:rPr>
          <w:sz w:val="18"/>
          <w:szCs w:val="18"/>
        </w:rPr>
      </w:pPr>
      <w:r>
        <w:rPr>
          <w:rFonts w:hint="eastAsia" w:ascii="微软雅黑" w:hAnsi="微软雅黑" w:eastAsia="微软雅黑" w:cs="微软雅黑"/>
          <w:i w:val="0"/>
          <w:iCs w:val="0"/>
          <w:caps w:val="0"/>
          <w:color w:val="000000"/>
          <w:spacing w:val="0"/>
          <w:sz w:val="18"/>
          <w:szCs w:val="18"/>
          <w:bdr w:val="none" w:color="auto" w:sz="0" w:space="0"/>
          <w:shd w:val="clear" w:fill="FFFFFF"/>
        </w:rPr>
        <w:t>（二）在工业互联网关键技术应用、创新生态构建、平台建设、制造业数字化转型升级、信息基础设施等方面已有可推广、可复制的典型经验；</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firstLine="420"/>
        <w:jc w:val="left"/>
        <w:rPr>
          <w:sz w:val="18"/>
          <w:szCs w:val="18"/>
        </w:rPr>
      </w:pPr>
      <w:r>
        <w:rPr>
          <w:rFonts w:hint="eastAsia" w:ascii="微软雅黑" w:hAnsi="微软雅黑" w:eastAsia="微软雅黑" w:cs="微软雅黑"/>
          <w:i w:val="0"/>
          <w:iCs w:val="0"/>
          <w:caps w:val="0"/>
          <w:color w:val="000000"/>
          <w:spacing w:val="0"/>
          <w:sz w:val="18"/>
          <w:szCs w:val="18"/>
          <w:bdr w:val="none" w:color="auto" w:sz="0" w:space="0"/>
          <w:shd w:val="clear" w:fill="FFFFFF"/>
        </w:rPr>
        <w:t>（三）年度工业总产值不低于50亿元；</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firstLine="420"/>
        <w:jc w:val="left"/>
        <w:rPr>
          <w:sz w:val="18"/>
          <w:szCs w:val="18"/>
        </w:rPr>
      </w:pPr>
      <w:r>
        <w:rPr>
          <w:rFonts w:hint="eastAsia" w:ascii="微软雅黑" w:hAnsi="微软雅黑" w:eastAsia="微软雅黑" w:cs="微软雅黑"/>
          <w:i w:val="0"/>
          <w:iCs w:val="0"/>
          <w:caps w:val="0"/>
          <w:color w:val="000000"/>
          <w:spacing w:val="0"/>
          <w:sz w:val="18"/>
          <w:szCs w:val="18"/>
          <w:bdr w:val="none" w:color="auto" w:sz="0" w:space="0"/>
          <w:shd w:val="clear" w:fill="FFFFFF"/>
        </w:rPr>
        <w:t>第十五条  申报工业互联网标识解析二级奖补的主体，需符合以下条件：</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firstLine="420"/>
        <w:jc w:val="left"/>
        <w:rPr>
          <w:sz w:val="18"/>
          <w:szCs w:val="18"/>
        </w:rPr>
      </w:pPr>
      <w:r>
        <w:rPr>
          <w:rFonts w:hint="eastAsia" w:ascii="微软雅黑" w:hAnsi="微软雅黑" w:eastAsia="微软雅黑" w:cs="微软雅黑"/>
          <w:i w:val="0"/>
          <w:iCs w:val="0"/>
          <w:caps w:val="0"/>
          <w:color w:val="000000"/>
          <w:spacing w:val="0"/>
          <w:sz w:val="18"/>
          <w:szCs w:val="18"/>
          <w:bdr w:val="none" w:color="auto" w:sz="0" w:space="0"/>
          <w:shd w:val="clear" w:fill="FFFFFF"/>
        </w:rPr>
        <w:t>（一）工业互联网标识解析二级节点须与国家顶级节点对接，实现实时数据同步和解析服务；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firstLine="420"/>
        <w:jc w:val="left"/>
        <w:rPr>
          <w:sz w:val="18"/>
          <w:szCs w:val="18"/>
        </w:rPr>
      </w:pPr>
      <w:r>
        <w:rPr>
          <w:rFonts w:hint="eastAsia" w:ascii="微软雅黑" w:hAnsi="微软雅黑" w:eastAsia="微软雅黑" w:cs="微软雅黑"/>
          <w:i w:val="0"/>
          <w:iCs w:val="0"/>
          <w:caps w:val="0"/>
          <w:color w:val="000000"/>
          <w:spacing w:val="0"/>
          <w:sz w:val="18"/>
          <w:szCs w:val="18"/>
          <w:bdr w:val="none" w:color="auto" w:sz="0" w:space="0"/>
          <w:shd w:val="clear" w:fill="FFFFFF"/>
        </w:rPr>
        <w:t>（二）注册总量不低于100万条，标识解析总量不低于50万次，接入企业不少于5家。</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firstLine="420"/>
        <w:jc w:val="left"/>
        <w:rPr>
          <w:sz w:val="18"/>
          <w:szCs w:val="18"/>
        </w:rPr>
      </w:pPr>
      <w:r>
        <w:rPr>
          <w:rFonts w:hint="eastAsia" w:ascii="微软雅黑" w:hAnsi="微软雅黑" w:eastAsia="微软雅黑" w:cs="微软雅黑"/>
          <w:i w:val="0"/>
          <w:iCs w:val="0"/>
          <w:caps w:val="0"/>
          <w:color w:val="000000"/>
          <w:spacing w:val="0"/>
          <w:sz w:val="18"/>
          <w:szCs w:val="18"/>
          <w:bdr w:val="none" w:color="auto" w:sz="0" w:space="0"/>
          <w:shd w:val="clear" w:fill="FFFFFF"/>
        </w:rPr>
        <w:t>第十六条  申报财政资金股权投资的主体，需符合以下条件：</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firstLine="420"/>
        <w:jc w:val="left"/>
        <w:rPr>
          <w:sz w:val="18"/>
          <w:szCs w:val="18"/>
        </w:rPr>
      </w:pPr>
      <w:r>
        <w:rPr>
          <w:rFonts w:hint="eastAsia" w:ascii="微软雅黑" w:hAnsi="微软雅黑" w:eastAsia="微软雅黑" w:cs="微软雅黑"/>
          <w:i w:val="0"/>
          <w:iCs w:val="0"/>
          <w:caps w:val="0"/>
          <w:color w:val="000000"/>
          <w:spacing w:val="0"/>
          <w:sz w:val="18"/>
          <w:szCs w:val="18"/>
          <w:bdr w:val="none" w:color="auto" w:sz="0" w:space="0"/>
          <w:shd w:val="clear" w:fill="FFFFFF"/>
        </w:rPr>
        <w:t>（一）企业连续经营2年以上，股权结构清晰；</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firstLine="420"/>
        <w:jc w:val="left"/>
        <w:rPr>
          <w:sz w:val="18"/>
          <w:szCs w:val="18"/>
        </w:rPr>
      </w:pPr>
      <w:r>
        <w:rPr>
          <w:rFonts w:hint="eastAsia" w:ascii="微软雅黑" w:hAnsi="微软雅黑" w:eastAsia="微软雅黑" w:cs="微软雅黑"/>
          <w:i w:val="0"/>
          <w:iCs w:val="0"/>
          <w:caps w:val="0"/>
          <w:color w:val="000000"/>
          <w:spacing w:val="0"/>
          <w:sz w:val="18"/>
          <w:szCs w:val="18"/>
          <w:bdr w:val="none" w:color="auto" w:sz="0" w:space="0"/>
          <w:shd w:val="clear" w:fill="FFFFFF"/>
        </w:rPr>
        <w:t>（二）企业工业设备和业务系统已连接工业互联网平台并通过市级工信部门评审认定，或企业可提供工业互联网平台解决方案并通过市级工信部门评审认定；</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firstLine="420"/>
        <w:jc w:val="left"/>
        <w:rPr>
          <w:sz w:val="18"/>
          <w:szCs w:val="18"/>
        </w:rPr>
      </w:pPr>
      <w:r>
        <w:rPr>
          <w:rFonts w:hint="eastAsia" w:ascii="微软雅黑" w:hAnsi="微软雅黑" w:eastAsia="微软雅黑" w:cs="微软雅黑"/>
          <w:i w:val="0"/>
          <w:iCs w:val="0"/>
          <w:caps w:val="0"/>
          <w:color w:val="000000"/>
          <w:spacing w:val="0"/>
          <w:sz w:val="18"/>
          <w:szCs w:val="18"/>
          <w:bdr w:val="none" w:color="auto" w:sz="0" w:space="0"/>
          <w:shd w:val="clear" w:fill="FFFFFF"/>
        </w:rPr>
        <w:t>（三）公司实收资本不低于1000万元；</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firstLine="420"/>
        <w:jc w:val="left"/>
        <w:rPr>
          <w:sz w:val="18"/>
          <w:szCs w:val="18"/>
        </w:rPr>
      </w:pPr>
      <w:r>
        <w:rPr>
          <w:rFonts w:hint="eastAsia" w:ascii="微软雅黑" w:hAnsi="微软雅黑" w:eastAsia="微软雅黑" w:cs="微软雅黑"/>
          <w:i w:val="0"/>
          <w:iCs w:val="0"/>
          <w:caps w:val="0"/>
          <w:color w:val="000000"/>
          <w:spacing w:val="0"/>
          <w:sz w:val="18"/>
          <w:szCs w:val="18"/>
          <w:bdr w:val="none" w:color="auto" w:sz="0" w:space="0"/>
          <w:shd w:val="clear" w:fill="FFFFFF"/>
        </w:rPr>
        <w:t>（四）公司不存在影响正常生产经营的重大未决诉讼，公司实际控制人、核心高管无违法失信记录。</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firstLine="420"/>
        <w:jc w:val="center"/>
        <w:rPr>
          <w:sz w:val="18"/>
          <w:szCs w:val="18"/>
        </w:rPr>
      </w:pPr>
      <w:r>
        <w:rPr>
          <w:rFonts w:hint="eastAsia" w:ascii="微软雅黑" w:hAnsi="微软雅黑" w:eastAsia="微软雅黑" w:cs="微软雅黑"/>
          <w:i w:val="0"/>
          <w:iCs w:val="0"/>
          <w:caps w:val="0"/>
          <w:color w:val="000000"/>
          <w:spacing w:val="0"/>
          <w:sz w:val="18"/>
          <w:szCs w:val="18"/>
          <w:bdr w:val="none" w:color="auto" w:sz="0" w:space="0"/>
          <w:shd w:val="clear" w:fill="FFFFFF"/>
        </w:rPr>
        <w:t>第四章  项目申报和评价</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firstLine="420"/>
        <w:jc w:val="left"/>
        <w:rPr>
          <w:sz w:val="18"/>
          <w:szCs w:val="18"/>
        </w:rPr>
      </w:pPr>
      <w:r>
        <w:rPr>
          <w:rFonts w:hint="eastAsia" w:ascii="微软雅黑" w:hAnsi="微软雅黑" w:eastAsia="微软雅黑" w:cs="微软雅黑"/>
          <w:i w:val="0"/>
          <w:iCs w:val="0"/>
          <w:caps w:val="0"/>
          <w:color w:val="000000"/>
          <w:spacing w:val="0"/>
          <w:sz w:val="18"/>
          <w:szCs w:val="18"/>
          <w:bdr w:val="none" w:color="auto" w:sz="0" w:space="0"/>
          <w:shd w:val="clear" w:fill="FFFFFF"/>
        </w:rPr>
        <w:t>第十七条省工业和信息化厅每年发布一次项目申报通知，明确支持方向、申报条件、审核程序、申报材料要求等内容。</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firstLine="420"/>
        <w:jc w:val="left"/>
        <w:rPr>
          <w:sz w:val="18"/>
          <w:szCs w:val="18"/>
        </w:rPr>
      </w:pPr>
      <w:r>
        <w:rPr>
          <w:rFonts w:hint="eastAsia" w:ascii="微软雅黑" w:hAnsi="微软雅黑" w:eastAsia="微软雅黑" w:cs="微软雅黑"/>
          <w:i w:val="0"/>
          <w:iCs w:val="0"/>
          <w:caps w:val="0"/>
          <w:color w:val="000000"/>
          <w:spacing w:val="0"/>
          <w:sz w:val="18"/>
          <w:szCs w:val="18"/>
          <w:bdr w:val="none" w:color="auto" w:sz="0" w:space="0"/>
          <w:shd w:val="clear" w:fill="FFFFFF"/>
        </w:rPr>
        <w:t>第十八条  申报单位按照申报通知要求，在规定时间内向所在市工业和信息化局进行申报。各市工业和信息化局负责申报材料初审、现场核查等工作，并对推荐项目的真实性负责。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firstLine="420"/>
        <w:jc w:val="left"/>
        <w:rPr>
          <w:sz w:val="18"/>
          <w:szCs w:val="18"/>
        </w:rPr>
      </w:pPr>
      <w:r>
        <w:rPr>
          <w:rFonts w:hint="eastAsia" w:ascii="微软雅黑" w:hAnsi="微软雅黑" w:eastAsia="微软雅黑" w:cs="微软雅黑"/>
          <w:i w:val="0"/>
          <w:iCs w:val="0"/>
          <w:caps w:val="0"/>
          <w:color w:val="000000"/>
          <w:spacing w:val="0"/>
          <w:sz w:val="18"/>
          <w:szCs w:val="18"/>
          <w:bdr w:val="none" w:color="auto" w:sz="0" w:space="0"/>
          <w:shd w:val="clear" w:fill="FFFFFF"/>
        </w:rPr>
        <w:t>第十九条  省工业和信息化厅对申报项目进行合规性审核，审核合格的项目，由省工业和信息化厅按照《山东省工业互联网平台指标评价体系》（见附件），组织专家或委托第三方专业机构进行综合评价。</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firstLine="420"/>
        <w:jc w:val="left"/>
        <w:rPr>
          <w:sz w:val="18"/>
          <w:szCs w:val="18"/>
        </w:rPr>
      </w:pPr>
      <w:r>
        <w:rPr>
          <w:rFonts w:hint="eastAsia" w:ascii="微软雅黑" w:hAnsi="微软雅黑" w:eastAsia="微软雅黑" w:cs="微软雅黑"/>
          <w:i w:val="0"/>
          <w:iCs w:val="0"/>
          <w:caps w:val="0"/>
          <w:color w:val="000000"/>
          <w:spacing w:val="0"/>
          <w:sz w:val="18"/>
          <w:szCs w:val="18"/>
          <w:bdr w:val="none" w:color="auto" w:sz="0" w:space="0"/>
          <w:shd w:val="clear" w:fill="FFFFFF"/>
        </w:rPr>
        <w:t>第二十条  省工业和信息化厅根据专家或第三方专业机构评价意见，提出拟支持的项目名单和资金分配意见，并向社会公示，公示期不少于5个工作日。经公示无异议后，省工业和信息化厅向省委科创委办公室提交资金分配建议，省委科创委审议通过后，省财政厅按程序下达资金。</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firstLine="420"/>
        <w:jc w:val="center"/>
        <w:rPr>
          <w:sz w:val="18"/>
          <w:szCs w:val="18"/>
        </w:rPr>
      </w:pPr>
      <w:r>
        <w:rPr>
          <w:rFonts w:hint="eastAsia" w:ascii="微软雅黑" w:hAnsi="微软雅黑" w:eastAsia="微软雅黑" w:cs="微软雅黑"/>
          <w:i w:val="0"/>
          <w:iCs w:val="0"/>
          <w:caps w:val="0"/>
          <w:color w:val="000000"/>
          <w:spacing w:val="0"/>
          <w:sz w:val="18"/>
          <w:szCs w:val="18"/>
          <w:bdr w:val="none" w:color="auto" w:sz="0" w:space="0"/>
          <w:shd w:val="clear" w:fill="FFFFFF"/>
        </w:rPr>
        <w:t>第五章  绩效评价和监督管理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firstLine="420"/>
        <w:jc w:val="left"/>
        <w:rPr>
          <w:sz w:val="18"/>
          <w:szCs w:val="18"/>
        </w:rPr>
      </w:pPr>
      <w:r>
        <w:rPr>
          <w:rFonts w:hint="eastAsia" w:ascii="微软雅黑" w:hAnsi="微软雅黑" w:eastAsia="微软雅黑" w:cs="微软雅黑"/>
          <w:i w:val="0"/>
          <w:iCs w:val="0"/>
          <w:caps w:val="0"/>
          <w:color w:val="000000"/>
          <w:spacing w:val="0"/>
          <w:sz w:val="18"/>
          <w:szCs w:val="18"/>
          <w:bdr w:val="none" w:color="auto" w:sz="0" w:space="0"/>
          <w:shd w:val="clear" w:fill="FFFFFF"/>
        </w:rPr>
        <w:t>第二十一条  有关市、县工信部门要会同本级财政部门严格按照预算管理有关要求，定期开展绩效评价，切实加强资金监管，提高资金使用效益。对于弄虚作假或采取不正当手段骗取补助资金的申报主体，一律取消补助资格，并依法依规追究责任。</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firstLine="420"/>
        <w:jc w:val="left"/>
        <w:rPr>
          <w:sz w:val="18"/>
          <w:szCs w:val="18"/>
        </w:rPr>
      </w:pPr>
      <w:r>
        <w:rPr>
          <w:rFonts w:hint="eastAsia" w:ascii="微软雅黑" w:hAnsi="微软雅黑" w:eastAsia="微软雅黑" w:cs="微软雅黑"/>
          <w:i w:val="0"/>
          <w:iCs w:val="0"/>
          <w:caps w:val="0"/>
          <w:color w:val="000000"/>
          <w:spacing w:val="0"/>
          <w:sz w:val="18"/>
          <w:szCs w:val="18"/>
          <w:bdr w:val="none" w:color="auto" w:sz="0" w:space="0"/>
          <w:shd w:val="clear" w:fill="FFFFFF"/>
        </w:rPr>
        <w:t>第二十二条各级业务主管部门、财政部门应主动接受人大、纪检监察、审计等方面的监督。对在审计和监督检查中发现违规违纪问题的，按照《中华人民共和国预算法》《中华人民共和国公务员法》《中华人民共和国监察法》《财政违法行为处罚处分条例》等规定处理；对涉嫌犯罪的，移送司法机关处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firstLine="420"/>
        <w:jc w:val="center"/>
        <w:rPr>
          <w:sz w:val="18"/>
          <w:szCs w:val="18"/>
        </w:rPr>
      </w:pPr>
      <w:r>
        <w:rPr>
          <w:rFonts w:hint="eastAsia" w:ascii="微软雅黑" w:hAnsi="微软雅黑" w:eastAsia="微软雅黑" w:cs="微软雅黑"/>
          <w:i w:val="0"/>
          <w:iCs w:val="0"/>
          <w:caps w:val="0"/>
          <w:color w:val="000000"/>
          <w:spacing w:val="0"/>
          <w:sz w:val="18"/>
          <w:szCs w:val="18"/>
          <w:bdr w:val="none" w:color="auto" w:sz="0" w:space="0"/>
          <w:shd w:val="clear" w:fill="FFFFFF"/>
        </w:rPr>
        <w:t>第六章  附则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firstLine="420"/>
        <w:jc w:val="left"/>
        <w:rPr>
          <w:sz w:val="18"/>
          <w:szCs w:val="18"/>
        </w:rPr>
      </w:pPr>
      <w:r>
        <w:rPr>
          <w:rFonts w:hint="eastAsia" w:ascii="微软雅黑" w:hAnsi="微软雅黑" w:eastAsia="微软雅黑" w:cs="微软雅黑"/>
          <w:i w:val="0"/>
          <w:iCs w:val="0"/>
          <w:caps w:val="0"/>
          <w:color w:val="000000"/>
          <w:spacing w:val="0"/>
          <w:sz w:val="18"/>
          <w:szCs w:val="18"/>
          <w:bdr w:val="none" w:color="auto" w:sz="0" w:space="0"/>
          <w:shd w:val="clear" w:fill="FFFFFF"/>
        </w:rPr>
        <w:t>第二十三条  本细则自2022年7月1日起施行，有效期至2023年12月31日。</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firstLine="420"/>
        <w:jc w:val="left"/>
        <w:rPr>
          <w:sz w:val="18"/>
          <w:szCs w:val="18"/>
        </w:rPr>
      </w:pPr>
      <w:r>
        <w:rPr>
          <w:rFonts w:hint="eastAsia" w:ascii="微软雅黑" w:hAnsi="微软雅黑" w:eastAsia="微软雅黑" w:cs="微软雅黑"/>
          <w:i w:val="0"/>
          <w:iCs w:val="0"/>
          <w:caps w:val="0"/>
          <w:color w:val="000000"/>
          <w:spacing w:val="0"/>
          <w:sz w:val="18"/>
          <w:szCs w:val="18"/>
          <w:bdr w:val="none" w:color="auto" w:sz="0" w:space="0"/>
          <w:shd w:val="clear" w:fill="FFFFFF"/>
        </w:rPr>
        <w:t>第二十四条  本细则由省工业和信息化厅、省财政厅负责解释。</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firstLine="420"/>
        <w:jc w:val="left"/>
        <w:rPr>
          <w:sz w:val="18"/>
          <w:szCs w:val="18"/>
        </w:rPr>
      </w:pPr>
      <w:r>
        <w:rPr>
          <w:rFonts w:hint="eastAsia" w:ascii="微软雅黑" w:hAnsi="微软雅黑" w:eastAsia="微软雅黑" w:cs="微软雅黑"/>
          <w:i w:val="0"/>
          <w:iCs w:val="0"/>
          <w:caps w:val="0"/>
          <w:color w:val="000000"/>
          <w:spacing w:val="0"/>
          <w:sz w:val="18"/>
          <w:szCs w:val="18"/>
          <w:bdr w:val="none" w:color="auto" w:sz="0" w:space="0"/>
          <w:shd w:val="clear" w:fill="FFFFFF"/>
        </w:rPr>
        <w:t>附件：1.山东省工业互联网平台评价指标体系</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firstLine="420"/>
        <w:jc w:val="left"/>
        <w:rPr>
          <w:sz w:val="18"/>
          <w:szCs w:val="18"/>
        </w:rPr>
      </w:pPr>
      <w:r>
        <w:rPr>
          <w:rFonts w:hint="eastAsia" w:ascii="微软雅黑" w:hAnsi="微软雅黑" w:eastAsia="微软雅黑" w:cs="微软雅黑"/>
          <w:i w:val="0"/>
          <w:iCs w:val="0"/>
          <w:caps w:val="0"/>
          <w:color w:val="000000"/>
          <w:spacing w:val="0"/>
          <w:sz w:val="18"/>
          <w:szCs w:val="18"/>
          <w:bdr w:val="none" w:color="auto" w:sz="0" w:space="0"/>
          <w:shd w:val="clear" w:fill="FFFFFF"/>
        </w:rPr>
        <w:t>          2.山东省工业互联网园区评价指标体系</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firstLine="420"/>
        <w:jc w:val="left"/>
        <w:rPr>
          <w:sz w:val="18"/>
          <w:szCs w:val="18"/>
        </w:rPr>
      </w:pPr>
      <w:r>
        <w:rPr>
          <w:rFonts w:hint="eastAsia" w:ascii="微软雅黑" w:hAnsi="微软雅黑" w:eastAsia="微软雅黑" w:cs="微软雅黑"/>
          <w:i w:val="0"/>
          <w:iCs w:val="0"/>
          <w:caps w:val="0"/>
          <w:color w:val="000000"/>
          <w:spacing w:val="0"/>
          <w:sz w:val="18"/>
          <w:szCs w:val="18"/>
          <w:bdr w:val="none" w:color="auto" w:sz="0" w:space="0"/>
          <w:shd w:val="clear" w:fill="FFFFFF"/>
        </w:rPr>
        <w:t>          3.山东省工业互联网标识解析二级节点评价指标体系</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firstLine="420"/>
        <w:jc w:val="left"/>
        <w:rPr>
          <w:sz w:val="18"/>
          <w:szCs w:val="18"/>
        </w:rPr>
      </w:pPr>
      <w:r>
        <w:rPr>
          <w:rFonts w:hint="eastAsia" w:ascii="微软雅黑" w:hAnsi="微软雅黑" w:eastAsia="微软雅黑" w:cs="微软雅黑"/>
          <w:i w:val="0"/>
          <w:iCs w:val="0"/>
          <w:caps w:val="0"/>
          <w:color w:val="000000"/>
          <w:spacing w:val="0"/>
          <w:sz w:val="18"/>
          <w:szCs w:val="18"/>
          <w:bdr w:val="none" w:color="auto" w:sz="0" w:space="0"/>
          <w:shd w:val="clear" w:fill="FFFFFF"/>
        </w:rPr>
        <w:t>附件1</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firstLine="420"/>
        <w:jc w:val="center"/>
        <w:rPr>
          <w:sz w:val="18"/>
          <w:szCs w:val="18"/>
        </w:rPr>
      </w:pPr>
      <w:r>
        <w:rPr>
          <w:rFonts w:hint="eastAsia" w:ascii="微软雅黑" w:hAnsi="微软雅黑" w:eastAsia="微软雅黑" w:cs="微软雅黑"/>
          <w:i w:val="0"/>
          <w:iCs w:val="0"/>
          <w:caps w:val="0"/>
          <w:color w:val="000000"/>
          <w:spacing w:val="0"/>
          <w:sz w:val="18"/>
          <w:szCs w:val="18"/>
          <w:bdr w:val="none" w:color="auto" w:sz="0" w:space="0"/>
          <w:shd w:val="clear" w:fill="FFFFFF"/>
        </w:rPr>
        <w:t>山东省工业互联网平台评价指标体系</w:t>
      </w:r>
    </w:p>
    <w:tbl>
      <w:tblPr>
        <w:tblW w:w="4998" w:type="pct"/>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901"/>
        <w:gridCol w:w="823"/>
        <w:gridCol w:w="1816"/>
        <w:gridCol w:w="3869"/>
        <w:gridCol w:w="1034"/>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60" w:hRule="atLeast"/>
        </w:trPr>
        <w:tc>
          <w:tcPr>
            <w:tcW w:w="533" w:type="pct"/>
            <w:tcBorders>
              <w:top w:val="single" w:color="auto" w:sz="4" w:space="0"/>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序号</w:t>
            </w:r>
          </w:p>
        </w:tc>
        <w:tc>
          <w:tcPr>
            <w:tcW w:w="487" w:type="pct"/>
            <w:tcBorders>
              <w:top w:val="single" w:color="auto" w:sz="4" w:space="0"/>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类型</w:t>
            </w:r>
          </w:p>
        </w:tc>
        <w:tc>
          <w:tcPr>
            <w:tcW w:w="1075" w:type="pct"/>
            <w:tcBorders>
              <w:top w:val="single" w:color="auto" w:sz="4" w:space="0"/>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指标名称</w:t>
            </w:r>
          </w:p>
        </w:tc>
        <w:tc>
          <w:tcPr>
            <w:tcW w:w="2290" w:type="pct"/>
            <w:tcBorders>
              <w:top w:val="single" w:color="auto" w:sz="4" w:space="0"/>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指标说明</w:t>
            </w:r>
          </w:p>
        </w:tc>
        <w:tc>
          <w:tcPr>
            <w:tcW w:w="612" w:type="pct"/>
            <w:tcBorders>
              <w:top w:val="single" w:color="auto" w:sz="4" w:space="0"/>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权重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420" w:hRule="atLeast"/>
        </w:trPr>
        <w:tc>
          <w:tcPr>
            <w:tcW w:w="533"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1</w:t>
            </w:r>
          </w:p>
        </w:tc>
        <w:tc>
          <w:tcPr>
            <w:tcW w:w="487" w:type="pct"/>
            <w:vMerge w:val="restar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平台基础水平</w:t>
            </w:r>
          </w:p>
        </w:tc>
        <w:tc>
          <w:tcPr>
            <w:tcW w:w="1075"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主营业务收入（万元）</w:t>
            </w:r>
          </w:p>
        </w:tc>
        <w:tc>
          <w:tcPr>
            <w:tcW w:w="2290"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主营业务收入是指企业从事本行业生产经营活动所取得的营业收入。</w:t>
            </w:r>
          </w:p>
        </w:tc>
        <w:tc>
          <w:tcPr>
            <w:tcW w:w="612" w:type="pct"/>
            <w:vMerge w:val="restar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10%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390" w:hRule="atLeast"/>
        </w:trPr>
        <w:tc>
          <w:tcPr>
            <w:tcW w:w="533"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2</w:t>
            </w:r>
          </w:p>
        </w:tc>
        <w:tc>
          <w:tcPr>
            <w:tcW w:w="487" w:type="pct"/>
            <w:vMerge w:val="continue"/>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rPr>
                <w:rFonts w:hint="eastAsia" w:ascii="宋体"/>
                <w:sz w:val="12"/>
                <w:szCs w:val="12"/>
              </w:rPr>
            </w:pPr>
          </w:p>
        </w:tc>
        <w:tc>
          <w:tcPr>
            <w:tcW w:w="1075"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研发投入（万元）</w:t>
            </w:r>
          </w:p>
        </w:tc>
        <w:tc>
          <w:tcPr>
            <w:tcW w:w="2290"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研发投入一般指企业研究与试验发展经费。</w:t>
            </w:r>
          </w:p>
        </w:tc>
        <w:tc>
          <w:tcPr>
            <w:tcW w:w="612" w:type="pct"/>
            <w:vMerge w:val="continue"/>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rPr>
                <w:rFonts w:hint="eastAsia" w:ascii="宋体"/>
                <w:sz w:val="12"/>
                <w:szCs w:val="12"/>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620" w:hRule="atLeast"/>
        </w:trPr>
        <w:tc>
          <w:tcPr>
            <w:tcW w:w="533"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3</w:t>
            </w:r>
          </w:p>
        </w:tc>
        <w:tc>
          <w:tcPr>
            <w:tcW w:w="487" w:type="pct"/>
            <w:vMerge w:val="continue"/>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rPr>
                <w:rFonts w:hint="eastAsia" w:ascii="宋体"/>
                <w:sz w:val="12"/>
                <w:szCs w:val="12"/>
              </w:rPr>
            </w:pPr>
          </w:p>
        </w:tc>
        <w:tc>
          <w:tcPr>
            <w:tcW w:w="1075"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国家、省级相关试点示范数量（个）</w:t>
            </w:r>
          </w:p>
        </w:tc>
        <w:tc>
          <w:tcPr>
            <w:tcW w:w="2290"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获得两化融合、工业互联网、新一代信息技术与制造业融合发展等领域国家、省级专项或试点示范项目、贯标评定通过情况等。</w:t>
            </w:r>
          </w:p>
        </w:tc>
        <w:tc>
          <w:tcPr>
            <w:tcW w:w="612" w:type="pct"/>
            <w:vMerge w:val="continue"/>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rPr>
                <w:rFonts w:hint="eastAsia" w:ascii="宋体"/>
                <w:sz w:val="12"/>
                <w:szCs w:val="12"/>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420" w:hRule="atLeast"/>
        </w:trPr>
        <w:tc>
          <w:tcPr>
            <w:tcW w:w="533"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4</w:t>
            </w:r>
          </w:p>
        </w:tc>
        <w:tc>
          <w:tcPr>
            <w:tcW w:w="487" w:type="pct"/>
            <w:vMerge w:val="continue"/>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rPr>
                <w:rFonts w:hint="eastAsia" w:ascii="宋体"/>
                <w:sz w:val="12"/>
                <w:szCs w:val="12"/>
              </w:rPr>
            </w:pPr>
          </w:p>
        </w:tc>
        <w:tc>
          <w:tcPr>
            <w:tcW w:w="1075"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战略机制保障（是/否）</w:t>
            </w:r>
          </w:p>
        </w:tc>
        <w:tc>
          <w:tcPr>
            <w:tcW w:w="2290"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平台是否被纳入企业战略规划，是否为独立公司运营。</w:t>
            </w:r>
          </w:p>
        </w:tc>
        <w:tc>
          <w:tcPr>
            <w:tcW w:w="612" w:type="pct"/>
            <w:vMerge w:val="continue"/>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rPr>
                <w:rFonts w:hint="eastAsia" w:ascii="宋体"/>
                <w:sz w:val="12"/>
                <w:szCs w:val="12"/>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620" w:hRule="atLeast"/>
        </w:trPr>
        <w:tc>
          <w:tcPr>
            <w:tcW w:w="533"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5</w:t>
            </w:r>
          </w:p>
        </w:tc>
        <w:tc>
          <w:tcPr>
            <w:tcW w:w="487" w:type="pct"/>
            <w:vMerge w:val="restar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平台资源管理水平</w:t>
            </w:r>
          </w:p>
        </w:tc>
        <w:tc>
          <w:tcPr>
            <w:tcW w:w="1075"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工业设备连接数量（台/套）</w:t>
            </w:r>
          </w:p>
        </w:tc>
        <w:tc>
          <w:tcPr>
            <w:tcW w:w="2290"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评价工业设备（运行设备、加工设备、行走设备、安全生产设备等）的连接数量和类型、工业协议兼容适配能力等。</w:t>
            </w:r>
          </w:p>
        </w:tc>
        <w:tc>
          <w:tcPr>
            <w:tcW w:w="612" w:type="pct"/>
            <w:vMerge w:val="restar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20%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460" w:hRule="atLeast"/>
        </w:trPr>
        <w:tc>
          <w:tcPr>
            <w:tcW w:w="533"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6</w:t>
            </w:r>
          </w:p>
        </w:tc>
        <w:tc>
          <w:tcPr>
            <w:tcW w:w="487" w:type="pct"/>
            <w:vMerge w:val="continue"/>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rPr>
                <w:rFonts w:hint="eastAsia" w:ascii="宋体"/>
                <w:sz w:val="12"/>
                <w:szCs w:val="12"/>
              </w:rPr>
            </w:pPr>
          </w:p>
        </w:tc>
        <w:tc>
          <w:tcPr>
            <w:tcW w:w="1075"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工业模型数量（个）</w:t>
            </w:r>
          </w:p>
        </w:tc>
        <w:tc>
          <w:tcPr>
            <w:tcW w:w="2290"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评价工业模型（研发仿真、业务流程、行业机理、数据算法等）的数量、类型等。</w:t>
            </w:r>
          </w:p>
        </w:tc>
        <w:tc>
          <w:tcPr>
            <w:tcW w:w="612" w:type="pct"/>
            <w:vMerge w:val="continue"/>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rPr>
                <w:rFonts w:hint="eastAsia" w:ascii="宋体"/>
                <w:sz w:val="12"/>
                <w:szCs w:val="12"/>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620" w:hRule="atLeast"/>
        </w:trPr>
        <w:tc>
          <w:tcPr>
            <w:tcW w:w="533"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7</w:t>
            </w:r>
          </w:p>
        </w:tc>
        <w:tc>
          <w:tcPr>
            <w:tcW w:w="487" w:type="pct"/>
            <w:vMerge w:val="continue"/>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rPr>
                <w:rFonts w:hint="eastAsia" w:ascii="宋体"/>
                <w:sz w:val="12"/>
                <w:szCs w:val="12"/>
              </w:rPr>
            </w:pPr>
          </w:p>
        </w:tc>
        <w:tc>
          <w:tcPr>
            <w:tcW w:w="1075"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工业APP数量（个）</w:t>
            </w:r>
          </w:p>
        </w:tc>
        <w:tc>
          <w:tcPr>
            <w:tcW w:w="2290"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评价工业APP的数量、类型等。工业APP指基于工业互联网平台，承载工业知识和经验，满足特定需求的工业应用软件。</w:t>
            </w:r>
          </w:p>
        </w:tc>
        <w:tc>
          <w:tcPr>
            <w:tcW w:w="612" w:type="pct"/>
            <w:vMerge w:val="continue"/>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rPr>
                <w:rFonts w:hint="eastAsia" w:ascii="宋体"/>
                <w:sz w:val="12"/>
                <w:szCs w:val="12"/>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620" w:hRule="atLeast"/>
        </w:trPr>
        <w:tc>
          <w:tcPr>
            <w:tcW w:w="533"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8</w:t>
            </w:r>
          </w:p>
        </w:tc>
        <w:tc>
          <w:tcPr>
            <w:tcW w:w="487" w:type="pct"/>
            <w:vMerge w:val="continue"/>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rPr>
                <w:rFonts w:hint="eastAsia" w:ascii="宋体"/>
                <w:sz w:val="12"/>
                <w:szCs w:val="12"/>
              </w:rPr>
            </w:pPr>
          </w:p>
        </w:tc>
        <w:tc>
          <w:tcPr>
            <w:tcW w:w="1075"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服务企业（用户）数量（家）</w:t>
            </w:r>
          </w:p>
        </w:tc>
        <w:tc>
          <w:tcPr>
            <w:tcW w:w="2290"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评价服务企业、工业企业数量等，包括工业制造企业、工业服务企业（如行业解决方案提供商），以及付费用户数量。</w:t>
            </w:r>
          </w:p>
        </w:tc>
        <w:tc>
          <w:tcPr>
            <w:tcW w:w="612" w:type="pct"/>
            <w:vMerge w:val="continue"/>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rPr>
                <w:rFonts w:hint="eastAsia" w:ascii="宋体"/>
                <w:sz w:val="12"/>
                <w:szCs w:val="12"/>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390" w:hRule="atLeast"/>
        </w:trPr>
        <w:tc>
          <w:tcPr>
            <w:tcW w:w="533"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9</w:t>
            </w:r>
          </w:p>
        </w:tc>
        <w:tc>
          <w:tcPr>
            <w:tcW w:w="487" w:type="pct"/>
            <w:vMerge w:val="continue"/>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rPr>
                <w:rFonts w:hint="eastAsia" w:ascii="宋体"/>
                <w:sz w:val="12"/>
                <w:szCs w:val="12"/>
              </w:rPr>
            </w:pPr>
          </w:p>
        </w:tc>
        <w:tc>
          <w:tcPr>
            <w:tcW w:w="1075"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平台开发者数量</w:t>
            </w:r>
          </w:p>
        </w:tc>
        <w:tc>
          <w:tcPr>
            <w:tcW w:w="2290"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评价开发者数量，包括注册总数和活跃开发者数。</w:t>
            </w:r>
          </w:p>
        </w:tc>
        <w:tc>
          <w:tcPr>
            <w:tcW w:w="612" w:type="pct"/>
            <w:vMerge w:val="continue"/>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rPr>
                <w:rFonts w:hint="eastAsia" w:ascii="宋体"/>
                <w:sz w:val="12"/>
                <w:szCs w:val="12"/>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770" w:hRule="atLeast"/>
        </w:trPr>
        <w:tc>
          <w:tcPr>
            <w:tcW w:w="533"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10</w:t>
            </w:r>
          </w:p>
        </w:tc>
        <w:tc>
          <w:tcPr>
            <w:tcW w:w="487" w:type="pct"/>
            <w:vMerge w:val="restar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平台核心技术水平</w:t>
            </w:r>
          </w:p>
        </w:tc>
        <w:tc>
          <w:tcPr>
            <w:tcW w:w="1075"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平台技术创新能力</w:t>
            </w:r>
          </w:p>
        </w:tc>
        <w:tc>
          <w:tcPr>
            <w:tcW w:w="2290"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评价平台的技术先进性，对新一代信息技术的融合创新能力，对应用软件及解决方案的支撑能力，技术产品化能力，获得的专利及软著数量等。</w:t>
            </w:r>
          </w:p>
        </w:tc>
        <w:tc>
          <w:tcPr>
            <w:tcW w:w="612" w:type="pct"/>
            <w:vMerge w:val="restar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20%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620" w:hRule="atLeast"/>
        </w:trPr>
        <w:tc>
          <w:tcPr>
            <w:tcW w:w="533"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11</w:t>
            </w:r>
          </w:p>
        </w:tc>
        <w:tc>
          <w:tcPr>
            <w:tcW w:w="487" w:type="pct"/>
            <w:vMerge w:val="continue"/>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rPr>
                <w:rFonts w:hint="eastAsia" w:ascii="宋体"/>
                <w:sz w:val="12"/>
                <w:szCs w:val="12"/>
              </w:rPr>
            </w:pPr>
          </w:p>
        </w:tc>
        <w:tc>
          <w:tcPr>
            <w:tcW w:w="1075"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平台产品可靠性和安全防护能力</w:t>
            </w:r>
          </w:p>
        </w:tc>
        <w:tc>
          <w:tcPr>
            <w:tcW w:w="2290"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评价平台核心软硬件产品的可靠性和市场竞争力，平台的安全防护体系和防护能力，获得第三方安全测评认证的情况等。</w:t>
            </w:r>
          </w:p>
        </w:tc>
        <w:tc>
          <w:tcPr>
            <w:tcW w:w="612" w:type="pct"/>
            <w:vMerge w:val="continue"/>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rPr>
                <w:rFonts w:hint="eastAsia" w:ascii="宋体"/>
                <w:sz w:val="12"/>
                <w:szCs w:val="12"/>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460" w:hRule="atLeast"/>
        </w:trPr>
        <w:tc>
          <w:tcPr>
            <w:tcW w:w="533"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12</w:t>
            </w:r>
          </w:p>
        </w:tc>
        <w:tc>
          <w:tcPr>
            <w:tcW w:w="487" w:type="pct"/>
            <w:vMerge w:val="continue"/>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rPr>
                <w:rFonts w:hint="eastAsia" w:ascii="宋体"/>
                <w:sz w:val="12"/>
                <w:szCs w:val="12"/>
              </w:rPr>
            </w:pPr>
          </w:p>
        </w:tc>
        <w:tc>
          <w:tcPr>
            <w:tcW w:w="1075"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自研杀手锏工业APP情况</w:t>
            </w:r>
          </w:p>
        </w:tc>
        <w:tc>
          <w:tcPr>
            <w:tcW w:w="2290"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评价平台对工业APP的自研能力，杀手锏工业APP的创新性、订阅量、市场价值等。</w:t>
            </w:r>
          </w:p>
        </w:tc>
        <w:tc>
          <w:tcPr>
            <w:tcW w:w="612" w:type="pct"/>
            <w:vMerge w:val="continue"/>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rPr>
                <w:rFonts w:hint="eastAsia" w:ascii="宋体"/>
                <w:sz w:val="12"/>
                <w:szCs w:val="12"/>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920" w:hRule="atLeast"/>
        </w:trPr>
        <w:tc>
          <w:tcPr>
            <w:tcW w:w="533"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13</w:t>
            </w:r>
          </w:p>
        </w:tc>
        <w:tc>
          <w:tcPr>
            <w:tcW w:w="487" w:type="pct"/>
            <w:vMerge w:val="restar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平台赋能成效</w:t>
            </w:r>
          </w:p>
        </w:tc>
        <w:tc>
          <w:tcPr>
            <w:tcW w:w="1075"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解决方案供给能力</w:t>
            </w:r>
          </w:p>
        </w:tc>
        <w:tc>
          <w:tcPr>
            <w:tcW w:w="2290"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解决方案应和平台关联性强，能够通过平台解决工艺优化、质量改进、效率提升等痛难点问题。评价解决方案的场景复杂度、与新一代信息技术融合创新程度、应用价值和可推广能力等。</w:t>
            </w:r>
          </w:p>
        </w:tc>
        <w:tc>
          <w:tcPr>
            <w:tcW w:w="612" w:type="pct"/>
            <w:vMerge w:val="restar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30%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1070" w:hRule="atLeast"/>
        </w:trPr>
        <w:tc>
          <w:tcPr>
            <w:tcW w:w="533"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14</w:t>
            </w:r>
          </w:p>
        </w:tc>
        <w:tc>
          <w:tcPr>
            <w:tcW w:w="487" w:type="pct"/>
            <w:vMerge w:val="continue"/>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rPr>
                <w:rFonts w:hint="eastAsia" w:ascii="宋体"/>
                <w:sz w:val="12"/>
                <w:szCs w:val="12"/>
              </w:rPr>
            </w:pPr>
          </w:p>
        </w:tc>
        <w:tc>
          <w:tcPr>
            <w:tcW w:w="1075"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赋能园区转型成效</w:t>
            </w:r>
          </w:p>
        </w:tc>
        <w:tc>
          <w:tcPr>
            <w:tcW w:w="2290"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评价平台服务园区、产业集群转型升级成效，包括服务园区数量、特色功能，对园区管理侧和产业侧的赋能成效，如提升园区治理能力、促进园区招商引资和生态汇聚、提高园区内企业数字化水平和产业协同水平等。</w:t>
            </w:r>
          </w:p>
        </w:tc>
        <w:tc>
          <w:tcPr>
            <w:tcW w:w="612" w:type="pct"/>
            <w:vMerge w:val="continue"/>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rPr>
                <w:rFonts w:hint="eastAsia" w:ascii="宋体"/>
                <w:sz w:val="12"/>
                <w:szCs w:val="12"/>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620" w:hRule="atLeast"/>
        </w:trPr>
        <w:tc>
          <w:tcPr>
            <w:tcW w:w="533"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15</w:t>
            </w:r>
          </w:p>
        </w:tc>
        <w:tc>
          <w:tcPr>
            <w:tcW w:w="487" w:type="pct"/>
            <w:vMerge w:val="continue"/>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rPr>
                <w:rFonts w:hint="eastAsia" w:ascii="宋体"/>
                <w:sz w:val="12"/>
                <w:szCs w:val="12"/>
              </w:rPr>
            </w:pPr>
          </w:p>
        </w:tc>
        <w:tc>
          <w:tcPr>
            <w:tcW w:w="1075"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赋能行业和领域成效</w:t>
            </w:r>
          </w:p>
        </w:tc>
        <w:tc>
          <w:tcPr>
            <w:tcW w:w="2290"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评价平台赋能行业和领域成效，包括服务行业、领域数量，重点服务行业、场景，新模式新业态培育情况等。</w:t>
            </w:r>
          </w:p>
        </w:tc>
        <w:tc>
          <w:tcPr>
            <w:tcW w:w="612" w:type="pct"/>
            <w:vMerge w:val="continue"/>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rPr>
                <w:rFonts w:hint="eastAsia" w:ascii="宋体"/>
                <w:sz w:val="12"/>
                <w:szCs w:val="12"/>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920" w:hRule="atLeast"/>
        </w:trPr>
        <w:tc>
          <w:tcPr>
            <w:tcW w:w="533"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16</w:t>
            </w:r>
          </w:p>
        </w:tc>
        <w:tc>
          <w:tcPr>
            <w:tcW w:w="487" w:type="pct"/>
            <w:vMerge w:val="continue"/>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rPr>
                <w:rFonts w:hint="eastAsia" w:ascii="宋体"/>
                <w:sz w:val="12"/>
                <w:szCs w:val="12"/>
              </w:rPr>
            </w:pPr>
          </w:p>
        </w:tc>
        <w:tc>
          <w:tcPr>
            <w:tcW w:w="1075"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中小企业服务能力</w:t>
            </w:r>
          </w:p>
        </w:tc>
        <w:tc>
          <w:tcPr>
            <w:tcW w:w="2290"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评价平台服务中小企业数量和产生的收入，服务中小企业的创新产品及解决方案应用情况，如开发轻量化、模块化软件工具及解决方案，创新商业模式为中小企业数字化转型提供低成本服务等。</w:t>
            </w:r>
          </w:p>
        </w:tc>
        <w:tc>
          <w:tcPr>
            <w:tcW w:w="612" w:type="pct"/>
            <w:vMerge w:val="continue"/>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rPr>
                <w:rFonts w:hint="eastAsia" w:ascii="宋体"/>
                <w:sz w:val="12"/>
                <w:szCs w:val="12"/>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620" w:hRule="atLeast"/>
        </w:trPr>
        <w:tc>
          <w:tcPr>
            <w:tcW w:w="533"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17</w:t>
            </w:r>
          </w:p>
        </w:tc>
        <w:tc>
          <w:tcPr>
            <w:tcW w:w="487" w:type="pct"/>
            <w:vMerge w:val="continue"/>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rPr>
                <w:rFonts w:hint="eastAsia" w:ascii="宋体"/>
                <w:sz w:val="12"/>
                <w:szCs w:val="12"/>
              </w:rPr>
            </w:pPr>
          </w:p>
        </w:tc>
        <w:tc>
          <w:tcPr>
            <w:tcW w:w="1075"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省外业务拓展能力</w:t>
            </w:r>
          </w:p>
        </w:tc>
        <w:tc>
          <w:tcPr>
            <w:tcW w:w="2290"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评价平台省外业务拓展能力和全国竞争力，能够对省外企业提供平台赋能解决方案，将我省技术、方案带向全国。</w:t>
            </w:r>
          </w:p>
        </w:tc>
        <w:tc>
          <w:tcPr>
            <w:tcW w:w="612" w:type="pct"/>
            <w:vMerge w:val="continue"/>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rPr>
                <w:rFonts w:hint="eastAsia" w:ascii="宋体"/>
                <w:sz w:val="12"/>
                <w:szCs w:val="12"/>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620" w:hRule="atLeast"/>
        </w:trPr>
        <w:tc>
          <w:tcPr>
            <w:tcW w:w="533"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18</w:t>
            </w:r>
          </w:p>
        </w:tc>
        <w:tc>
          <w:tcPr>
            <w:tcW w:w="487" w:type="pct"/>
            <w:vMerge w:val="restar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平台社会贡献度</w:t>
            </w:r>
          </w:p>
        </w:tc>
        <w:tc>
          <w:tcPr>
            <w:tcW w:w="1075"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稳增长支撑能力</w:t>
            </w:r>
          </w:p>
        </w:tc>
        <w:tc>
          <w:tcPr>
            <w:tcW w:w="2290"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评价平台在“六稳”“六保”等方面发挥的作用，作为新型基础设施对相关行业的带动作用，在服务属地工业增长和转型中发挥的作用。</w:t>
            </w:r>
          </w:p>
        </w:tc>
        <w:tc>
          <w:tcPr>
            <w:tcW w:w="612" w:type="pct"/>
            <w:vMerge w:val="restar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10%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820" w:hRule="atLeast"/>
        </w:trPr>
        <w:tc>
          <w:tcPr>
            <w:tcW w:w="533"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19</w:t>
            </w:r>
          </w:p>
        </w:tc>
        <w:tc>
          <w:tcPr>
            <w:tcW w:w="487" w:type="pct"/>
            <w:vMerge w:val="continue"/>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rPr>
                <w:rFonts w:hint="eastAsia" w:ascii="宋体"/>
                <w:sz w:val="12"/>
                <w:szCs w:val="12"/>
              </w:rPr>
            </w:pPr>
          </w:p>
        </w:tc>
        <w:tc>
          <w:tcPr>
            <w:tcW w:w="1075"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“双链”“双碳”支撑能力</w:t>
            </w:r>
          </w:p>
        </w:tc>
        <w:tc>
          <w:tcPr>
            <w:tcW w:w="2290"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评价平台支撑产业链供应链协同的创新解决方案情况，能够助力特定产业强链补链；平台具有支撑能源管控、节能减排等解决方案，能够有效降低工业企业碳排放水平。</w:t>
            </w:r>
          </w:p>
        </w:tc>
        <w:tc>
          <w:tcPr>
            <w:tcW w:w="612" w:type="pct"/>
            <w:vMerge w:val="continue"/>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rPr>
                <w:rFonts w:hint="eastAsia" w:ascii="宋体"/>
                <w:sz w:val="12"/>
                <w:szCs w:val="12"/>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620" w:hRule="atLeast"/>
        </w:trPr>
        <w:tc>
          <w:tcPr>
            <w:tcW w:w="533"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20</w:t>
            </w:r>
          </w:p>
        </w:tc>
        <w:tc>
          <w:tcPr>
            <w:tcW w:w="487" w:type="pct"/>
            <w:vMerge w:val="continue"/>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rPr>
                <w:rFonts w:hint="eastAsia" w:ascii="宋体"/>
                <w:sz w:val="12"/>
                <w:szCs w:val="12"/>
              </w:rPr>
            </w:pPr>
          </w:p>
        </w:tc>
        <w:tc>
          <w:tcPr>
            <w:tcW w:w="1075"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支撑经济或行业运行分析</w:t>
            </w:r>
          </w:p>
        </w:tc>
        <w:tc>
          <w:tcPr>
            <w:tcW w:w="2290"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评价平台依托工业互联网平台数据构建数字产业地图、产业经济运行、产业链监测、企业画像、特色工业指数等情况。</w:t>
            </w:r>
          </w:p>
        </w:tc>
        <w:tc>
          <w:tcPr>
            <w:tcW w:w="612" w:type="pct"/>
            <w:vMerge w:val="continue"/>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rPr>
                <w:rFonts w:hint="eastAsia" w:ascii="宋体"/>
                <w:sz w:val="12"/>
                <w:szCs w:val="12"/>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60" w:hRule="atLeast"/>
        </w:trPr>
        <w:tc>
          <w:tcPr>
            <w:tcW w:w="533"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21</w:t>
            </w:r>
          </w:p>
        </w:tc>
        <w:tc>
          <w:tcPr>
            <w:tcW w:w="487" w:type="pct"/>
            <w:vMerge w:val="continue"/>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rPr>
                <w:rFonts w:hint="eastAsia" w:ascii="宋体"/>
                <w:sz w:val="12"/>
                <w:szCs w:val="12"/>
              </w:rPr>
            </w:pPr>
          </w:p>
        </w:tc>
        <w:tc>
          <w:tcPr>
            <w:tcW w:w="1075"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参与标准制定情况</w:t>
            </w:r>
          </w:p>
        </w:tc>
        <w:tc>
          <w:tcPr>
            <w:tcW w:w="2290"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平台牵头或参与编制工业互联网平台领域标准情况，包括国际、国家、行业和地方标准。</w:t>
            </w:r>
          </w:p>
        </w:tc>
        <w:tc>
          <w:tcPr>
            <w:tcW w:w="612" w:type="pct"/>
            <w:vMerge w:val="continue"/>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rPr>
                <w:rFonts w:hint="eastAsia" w:ascii="宋体"/>
                <w:sz w:val="12"/>
                <w:szCs w:val="12"/>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620" w:hRule="atLeast"/>
        </w:trPr>
        <w:tc>
          <w:tcPr>
            <w:tcW w:w="533"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22</w:t>
            </w:r>
          </w:p>
        </w:tc>
        <w:tc>
          <w:tcPr>
            <w:tcW w:w="487" w:type="pct"/>
            <w:vMerge w:val="restar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平台可持续发展能力</w:t>
            </w:r>
          </w:p>
        </w:tc>
        <w:tc>
          <w:tcPr>
            <w:tcW w:w="1075"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盈利和融资能力</w:t>
            </w:r>
          </w:p>
        </w:tc>
        <w:tc>
          <w:tcPr>
            <w:tcW w:w="2290"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评价平台自身盈利能力，包括平台收入规模、资本融资情况等，重点是上年度实际服务企业上云上平台收入总额。</w:t>
            </w:r>
          </w:p>
        </w:tc>
        <w:tc>
          <w:tcPr>
            <w:tcW w:w="612" w:type="pct"/>
            <w:vMerge w:val="restar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10%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420" w:hRule="atLeast"/>
        </w:trPr>
        <w:tc>
          <w:tcPr>
            <w:tcW w:w="533"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23</w:t>
            </w:r>
          </w:p>
        </w:tc>
        <w:tc>
          <w:tcPr>
            <w:tcW w:w="487" w:type="pct"/>
            <w:vMerge w:val="continue"/>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rPr>
                <w:rFonts w:hint="eastAsia" w:ascii="宋体"/>
                <w:sz w:val="12"/>
                <w:szCs w:val="12"/>
              </w:rPr>
            </w:pPr>
          </w:p>
        </w:tc>
        <w:tc>
          <w:tcPr>
            <w:tcW w:w="1075"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公司资源调配能力</w:t>
            </w:r>
          </w:p>
        </w:tc>
        <w:tc>
          <w:tcPr>
            <w:tcW w:w="2290"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评价平台研发资金规模、从业人员数量等资源投入情况。</w:t>
            </w:r>
          </w:p>
        </w:tc>
        <w:tc>
          <w:tcPr>
            <w:tcW w:w="612" w:type="pct"/>
            <w:vMerge w:val="continue"/>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rPr>
                <w:rFonts w:hint="eastAsia" w:ascii="宋体"/>
                <w:sz w:val="12"/>
                <w:szCs w:val="12"/>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650" w:hRule="atLeast"/>
        </w:trPr>
        <w:tc>
          <w:tcPr>
            <w:tcW w:w="533"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24</w:t>
            </w:r>
          </w:p>
        </w:tc>
        <w:tc>
          <w:tcPr>
            <w:tcW w:w="487" w:type="pct"/>
            <w:vMerge w:val="continue"/>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rPr>
                <w:rFonts w:hint="eastAsia" w:ascii="宋体"/>
                <w:sz w:val="12"/>
                <w:szCs w:val="12"/>
              </w:rPr>
            </w:pPr>
          </w:p>
        </w:tc>
        <w:tc>
          <w:tcPr>
            <w:tcW w:w="1075"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生态运营能力</w:t>
            </w:r>
          </w:p>
        </w:tc>
        <w:tc>
          <w:tcPr>
            <w:tcW w:w="2290"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评价平台赋能特定行业/区域平台建设、带动行业解决方案服务商发展情况，在产融合作、产教融合、人才培养等方面情况。</w:t>
            </w:r>
          </w:p>
        </w:tc>
        <w:tc>
          <w:tcPr>
            <w:tcW w:w="612" w:type="pct"/>
            <w:vMerge w:val="continue"/>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rPr>
                <w:rFonts w:hint="eastAsia" w:ascii="宋体"/>
                <w:sz w:val="12"/>
                <w:szCs w:val="12"/>
              </w:rPr>
            </w:pPr>
          </w:p>
        </w:tc>
      </w:tr>
    </w:tbl>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firstLine="420"/>
        <w:jc w:val="left"/>
        <w:rPr>
          <w:sz w:val="18"/>
          <w:szCs w:val="18"/>
        </w:rPr>
      </w:pPr>
      <w:r>
        <w:rPr>
          <w:rFonts w:hint="eastAsia" w:ascii="微软雅黑" w:hAnsi="微软雅黑" w:eastAsia="微软雅黑" w:cs="微软雅黑"/>
          <w:i w:val="0"/>
          <w:iCs w:val="0"/>
          <w:caps w:val="0"/>
          <w:color w:val="000000"/>
          <w:spacing w:val="0"/>
          <w:sz w:val="18"/>
          <w:szCs w:val="18"/>
          <w:bdr w:val="none" w:color="auto" w:sz="0" w:space="0"/>
          <w:shd w:val="clear" w:fill="FFFFFF"/>
        </w:rPr>
        <w:t>附件2</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firstLine="420"/>
        <w:jc w:val="center"/>
        <w:rPr>
          <w:sz w:val="18"/>
          <w:szCs w:val="18"/>
        </w:rPr>
      </w:pPr>
      <w:r>
        <w:rPr>
          <w:rFonts w:hint="eastAsia" w:ascii="微软雅黑" w:hAnsi="微软雅黑" w:eastAsia="微软雅黑" w:cs="微软雅黑"/>
          <w:i w:val="0"/>
          <w:iCs w:val="0"/>
          <w:caps w:val="0"/>
          <w:color w:val="000000"/>
          <w:spacing w:val="0"/>
          <w:sz w:val="18"/>
          <w:szCs w:val="18"/>
          <w:bdr w:val="none" w:color="auto" w:sz="0" w:space="0"/>
          <w:shd w:val="clear" w:fill="FFFFFF"/>
        </w:rPr>
        <w:t>山东省工业互联网园区评价指标体系</w:t>
      </w:r>
    </w:p>
    <w:tbl>
      <w:tblPr>
        <w:tblW w:w="4998" w:type="pct"/>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919"/>
        <w:gridCol w:w="823"/>
        <w:gridCol w:w="1796"/>
        <w:gridCol w:w="3883"/>
        <w:gridCol w:w="1022"/>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PrEx>
        <w:trPr>
          <w:trHeight w:val="500" w:hRule="atLeast"/>
        </w:trPr>
        <w:tc>
          <w:tcPr>
            <w:tcW w:w="544" w:type="pct"/>
            <w:tcBorders>
              <w:top w:val="single" w:color="auto" w:sz="4" w:space="0"/>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序号</w:t>
            </w:r>
          </w:p>
        </w:tc>
        <w:tc>
          <w:tcPr>
            <w:tcW w:w="487" w:type="pct"/>
            <w:tcBorders>
              <w:top w:val="single" w:color="auto" w:sz="4" w:space="0"/>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类型</w:t>
            </w:r>
          </w:p>
        </w:tc>
        <w:tc>
          <w:tcPr>
            <w:tcW w:w="1063" w:type="pct"/>
            <w:tcBorders>
              <w:top w:val="single" w:color="auto" w:sz="4" w:space="0"/>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指标名称</w:t>
            </w:r>
          </w:p>
        </w:tc>
        <w:tc>
          <w:tcPr>
            <w:tcW w:w="2298" w:type="pct"/>
            <w:tcBorders>
              <w:top w:val="single" w:color="auto" w:sz="4" w:space="0"/>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指标说明</w:t>
            </w:r>
          </w:p>
        </w:tc>
        <w:tc>
          <w:tcPr>
            <w:tcW w:w="605" w:type="pct"/>
            <w:tcBorders>
              <w:top w:val="single" w:color="auto" w:sz="4" w:space="0"/>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权重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1030" w:hRule="atLeast"/>
        </w:trPr>
        <w:tc>
          <w:tcPr>
            <w:tcW w:w="544"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1</w:t>
            </w:r>
          </w:p>
        </w:tc>
        <w:tc>
          <w:tcPr>
            <w:tcW w:w="487" w:type="pct"/>
            <w:vMerge w:val="restar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信息基础设施</w:t>
            </w:r>
          </w:p>
        </w:tc>
        <w:tc>
          <w:tcPr>
            <w:tcW w:w="1063"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千兆光纤网络入企覆盖率</w:t>
            </w:r>
          </w:p>
        </w:tc>
        <w:tc>
          <w:tcPr>
            <w:tcW w:w="2298"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千兆光纤是根据网速从10M/100M/1000M自适应的网卡，最大传输速度能达到1000Mbps。千兆光纤网络入企覆盖率=接入千兆光纤网络企业数/园区企业总数*100%。</w:t>
            </w:r>
          </w:p>
        </w:tc>
        <w:tc>
          <w:tcPr>
            <w:tcW w:w="605" w:type="pct"/>
            <w:vMerge w:val="restar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30%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350" w:hRule="atLeast"/>
        </w:trPr>
        <w:tc>
          <w:tcPr>
            <w:tcW w:w="544"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2</w:t>
            </w:r>
          </w:p>
        </w:tc>
        <w:tc>
          <w:tcPr>
            <w:tcW w:w="487" w:type="pct"/>
            <w:vMerge w:val="continue"/>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rPr>
                <w:rFonts w:hint="eastAsia" w:ascii="宋体"/>
                <w:sz w:val="12"/>
                <w:szCs w:val="12"/>
              </w:rPr>
            </w:pPr>
          </w:p>
        </w:tc>
        <w:tc>
          <w:tcPr>
            <w:tcW w:w="1063"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5G基站数</w:t>
            </w:r>
          </w:p>
        </w:tc>
        <w:tc>
          <w:tcPr>
            <w:tcW w:w="2298"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园区内5G宏站的数量。</w:t>
            </w:r>
          </w:p>
        </w:tc>
        <w:tc>
          <w:tcPr>
            <w:tcW w:w="605" w:type="pct"/>
            <w:vMerge w:val="continue"/>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rPr>
                <w:rFonts w:hint="eastAsia" w:ascii="宋体"/>
                <w:sz w:val="12"/>
                <w:szCs w:val="12"/>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480" w:hRule="atLeast"/>
        </w:trPr>
        <w:tc>
          <w:tcPr>
            <w:tcW w:w="544"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3</w:t>
            </w:r>
          </w:p>
        </w:tc>
        <w:tc>
          <w:tcPr>
            <w:tcW w:w="487" w:type="pct"/>
            <w:vMerge w:val="continue"/>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rPr>
                <w:rFonts w:hint="eastAsia" w:ascii="宋体"/>
                <w:sz w:val="12"/>
                <w:szCs w:val="12"/>
              </w:rPr>
            </w:pPr>
          </w:p>
        </w:tc>
        <w:tc>
          <w:tcPr>
            <w:tcW w:w="1063"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规上工业企业5G应用率</w:t>
            </w:r>
          </w:p>
        </w:tc>
        <w:tc>
          <w:tcPr>
            <w:tcW w:w="2298"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规上工业企业5G应用率=应用5G企业数/园区规上工业企业总数*100%。</w:t>
            </w:r>
          </w:p>
        </w:tc>
        <w:tc>
          <w:tcPr>
            <w:tcW w:w="605" w:type="pct"/>
            <w:vMerge w:val="continue"/>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rPr>
                <w:rFonts w:hint="eastAsia" w:ascii="宋体"/>
                <w:sz w:val="12"/>
                <w:szCs w:val="12"/>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430" w:hRule="atLeast"/>
        </w:trPr>
        <w:tc>
          <w:tcPr>
            <w:tcW w:w="544"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4</w:t>
            </w:r>
          </w:p>
        </w:tc>
        <w:tc>
          <w:tcPr>
            <w:tcW w:w="487" w:type="pct"/>
            <w:vMerge w:val="continue"/>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rPr>
                <w:rFonts w:hint="eastAsia" w:ascii="宋体"/>
                <w:sz w:val="12"/>
                <w:szCs w:val="12"/>
              </w:rPr>
            </w:pPr>
          </w:p>
        </w:tc>
        <w:tc>
          <w:tcPr>
            <w:tcW w:w="1063"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物联网建设部署</w:t>
            </w:r>
          </w:p>
        </w:tc>
        <w:tc>
          <w:tcPr>
            <w:tcW w:w="2298"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NB-IoT、LoRA等低功耗物联网覆盖及应用部署情况。</w:t>
            </w:r>
          </w:p>
        </w:tc>
        <w:tc>
          <w:tcPr>
            <w:tcW w:w="605" w:type="pct"/>
            <w:vMerge w:val="continue"/>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rPr>
                <w:rFonts w:hint="eastAsia" w:ascii="宋体"/>
                <w:sz w:val="12"/>
                <w:szCs w:val="12"/>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830" w:hRule="atLeast"/>
        </w:trPr>
        <w:tc>
          <w:tcPr>
            <w:tcW w:w="544"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5</w:t>
            </w:r>
          </w:p>
        </w:tc>
        <w:tc>
          <w:tcPr>
            <w:tcW w:w="487" w:type="pct"/>
            <w:vMerge w:val="continue"/>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rPr>
                <w:rFonts w:hint="eastAsia" w:ascii="宋体"/>
                <w:sz w:val="12"/>
                <w:szCs w:val="12"/>
              </w:rPr>
            </w:pPr>
          </w:p>
        </w:tc>
        <w:tc>
          <w:tcPr>
            <w:tcW w:w="1063"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园区工业互联网公共服务平台</w:t>
            </w:r>
          </w:p>
        </w:tc>
        <w:tc>
          <w:tcPr>
            <w:tcW w:w="2298"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园区建设的工业互联网公共服务平台，承载公共服务APP和解决方案等，助力企业融资投资、产能共享、供应链协同、供需对接等。</w:t>
            </w:r>
          </w:p>
        </w:tc>
        <w:tc>
          <w:tcPr>
            <w:tcW w:w="605" w:type="pct"/>
            <w:vMerge w:val="continue"/>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rPr>
                <w:rFonts w:hint="eastAsia" w:ascii="宋体"/>
                <w:sz w:val="12"/>
                <w:szCs w:val="12"/>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830" w:hRule="atLeast"/>
        </w:trPr>
        <w:tc>
          <w:tcPr>
            <w:tcW w:w="544"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6</w:t>
            </w:r>
          </w:p>
        </w:tc>
        <w:tc>
          <w:tcPr>
            <w:tcW w:w="487" w:type="pct"/>
            <w:vMerge w:val="continue"/>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rPr>
                <w:rFonts w:hint="eastAsia" w:ascii="宋体"/>
                <w:sz w:val="12"/>
                <w:szCs w:val="12"/>
              </w:rPr>
            </w:pPr>
          </w:p>
        </w:tc>
        <w:tc>
          <w:tcPr>
            <w:tcW w:w="1063"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标识解析二级节点数量</w:t>
            </w:r>
          </w:p>
        </w:tc>
        <w:tc>
          <w:tcPr>
            <w:tcW w:w="2298"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二级节点需向标识注册管理机构申请，获取标识编码资源，并为其服务对象提供标识编码的分配、管理和解析服务。</w:t>
            </w:r>
          </w:p>
        </w:tc>
        <w:tc>
          <w:tcPr>
            <w:tcW w:w="605" w:type="pct"/>
            <w:vMerge w:val="continue"/>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rPr>
                <w:rFonts w:hint="eastAsia" w:ascii="宋体"/>
                <w:sz w:val="12"/>
                <w:szCs w:val="12"/>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1030" w:hRule="atLeast"/>
        </w:trPr>
        <w:tc>
          <w:tcPr>
            <w:tcW w:w="544"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7</w:t>
            </w:r>
          </w:p>
        </w:tc>
        <w:tc>
          <w:tcPr>
            <w:tcW w:w="487" w:type="pct"/>
            <w:vMerge w:val="restar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工业互联网建设应用</w:t>
            </w:r>
          </w:p>
        </w:tc>
        <w:tc>
          <w:tcPr>
            <w:tcW w:w="1063"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国家级/省级工业互联网平台</w:t>
            </w:r>
          </w:p>
        </w:tc>
        <w:tc>
          <w:tcPr>
            <w:tcW w:w="2298"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园区中企业获得国家级工业互联网试点示范项目、新一代信息技术与制造业融合发展试点示范项目中工业互联网平台的数量和省级工业互联网平台数量。</w:t>
            </w:r>
          </w:p>
        </w:tc>
        <w:tc>
          <w:tcPr>
            <w:tcW w:w="605" w:type="pct"/>
            <w:vMerge w:val="restar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40%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640" w:hRule="atLeast"/>
        </w:trPr>
        <w:tc>
          <w:tcPr>
            <w:tcW w:w="544"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8</w:t>
            </w:r>
          </w:p>
        </w:tc>
        <w:tc>
          <w:tcPr>
            <w:tcW w:w="487" w:type="pct"/>
            <w:vMerge w:val="continue"/>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rPr>
                <w:rFonts w:hint="eastAsia" w:ascii="宋体"/>
                <w:sz w:val="12"/>
                <w:szCs w:val="12"/>
              </w:rPr>
            </w:pPr>
          </w:p>
        </w:tc>
        <w:tc>
          <w:tcPr>
            <w:tcW w:w="1063"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国家级/省级试点示范项目数</w:t>
            </w:r>
          </w:p>
        </w:tc>
        <w:tc>
          <w:tcPr>
            <w:tcW w:w="2298"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获得国家级/省级5G、工业互联网、新一代信息技术与制造业融合发展、智能制造等相关试点示范项目数。</w:t>
            </w:r>
          </w:p>
        </w:tc>
        <w:tc>
          <w:tcPr>
            <w:tcW w:w="605" w:type="pct"/>
            <w:vMerge w:val="continue"/>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rPr>
                <w:rFonts w:hint="eastAsia" w:ascii="宋体"/>
                <w:sz w:val="12"/>
                <w:szCs w:val="12"/>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640" w:hRule="atLeast"/>
        </w:trPr>
        <w:tc>
          <w:tcPr>
            <w:tcW w:w="544"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9</w:t>
            </w:r>
          </w:p>
        </w:tc>
        <w:tc>
          <w:tcPr>
            <w:tcW w:w="487" w:type="pct"/>
            <w:vMerge w:val="continue"/>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rPr>
                <w:rFonts w:hint="eastAsia" w:ascii="宋体"/>
                <w:sz w:val="12"/>
                <w:szCs w:val="12"/>
              </w:rPr>
            </w:pPr>
          </w:p>
        </w:tc>
        <w:tc>
          <w:tcPr>
            <w:tcW w:w="1063"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规上企业应用工业互联网比例</w:t>
            </w:r>
          </w:p>
        </w:tc>
        <w:tc>
          <w:tcPr>
            <w:tcW w:w="2298"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规上工业企业应用工业互联网比例=应用工业互联网的规上工业企业数/园区规上工业企业总数。</w:t>
            </w:r>
          </w:p>
        </w:tc>
        <w:tc>
          <w:tcPr>
            <w:tcW w:w="605" w:type="pct"/>
            <w:vMerge w:val="continue"/>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rPr>
                <w:rFonts w:hint="eastAsia" w:ascii="宋体"/>
                <w:sz w:val="12"/>
                <w:szCs w:val="12"/>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430" w:hRule="atLeast"/>
        </w:trPr>
        <w:tc>
          <w:tcPr>
            <w:tcW w:w="544"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10</w:t>
            </w:r>
          </w:p>
        </w:tc>
        <w:tc>
          <w:tcPr>
            <w:tcW w:w="487" w:type="pct"/>
            <w:vMerge w:val="continue"/>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rPr>
                <w:rFonts w:hint="eastAsia" w:ascii="宋体"/>
                <w:sz w:val="12"/>
                <w:szCs w:val="12"/>
              </w:rPr>
            </w:pPr>
          </w:p>
        </w:tc>
        <w:tc>
          <w:tcPr>
            <w:tcW w:w="1063"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“5G+工业互联网”项目数</w:t>
            </w:r>
          </w:p>
        </w:tc>
        <w:tc>
          <w:tcPr>
            <w:tcW w:w="2298"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2022年度纳入工信部“5G+工业互联网”项目库的项目数量。</w:t>
            </w:r>
          </w:p>
        </w:tc>
        <w:tc>
          <w:tcPr>
            <w:tcW w:w="605" w:type="pct"/>
            <w:vMerge w:val="continue"/>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rPr>
                <w:rFonts w:hint="eastAsia" w:ascii="宋体"/>
                <w:sz w:val="12"/>
                <w:szCs w:val="12"/>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630" w:hRule="atLeast"/>
        </w:trPr>
        <w:tc>
          <w:tcPr>
            <w:tcW w:w="544"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11</w:t>
            </w:r>
          </w:p>
        </w:tc>
        <w:tc>
          <w:tcPr>
            <w:tcW w:w="487" w:type="pct"/>
            <w:vMerge w:val="restar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keepNext w:val="0"/>
              <w:keepLines w:val="0"/>
              <w:widowControl/>
              <w:suppressLineNumbers w:val="0"/>
              <w:spacing w:before="0" w:beforeAutospacing="0" w:after="0" w:afterAutospacing="0"/>
              <w:ind w:left="0" w:right="0"/>
              <w:jc w:val="left"/>
              <w:textAlignment w:val="center"/>
              <w:rPr>
                <w:sz w:val="12"/>
                <w:szCs w:val="12"/>
              </w:rPr>
            </w:pPr>
          </w:p>
        </w:tc>
        <w:tc>
          <w:tcPr>
            <w:tcW w:w="1063"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两化融合管理体系贯标企业数</w:t>
            </w:r>
          </w:p>
        </w:tc>
        <w:tc>
          <w:tcPr>
            <w:tcW w:w="2298"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通过国家两化融合管理体系评定，并获得《两化融合管理体系评定证书》的企业数量。</w:t>
            </w:r>
          </w:p>
        </w:tc>
        <w:tc>
          <w:tcPr>
            <w:tcW w:w="605" w:type="pct"/>
            <w:vMerge w:val="restar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keepNext w:val="0"/>
              <w:keepLines w:val="0"/>
              <w:widowControl/>
              <w:suppressLineNumbers w:val="0"/>
              <w:spacing w:before="0" w:beforeAutospacing="0" w:after="0" w:afterAutospacing="0"/>
              <w:ind w:left="0" w:right="0"/>
              <w:jc w:val="left"/>
              <w:textAlignment w:val="center"/>
              <w:rPr>
                <w:sz w:val="12"/>
                <w:szCs w:val="12"/>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480" w:hRule="atLeast"/>
        </w:trPr>
        <w:tc>
          <w:tcPr>
            <w:tcW w:w="544"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12</w:t>
            </w:r>
          </w:p>
        </w:tc>
        <w:tc>
          <w:tcPr>
            <w:tcW w:w="487" w:type="pct"/>
            <w:vMerge w:val="continue"/>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rPr>
                <w:rFonts w:hint="eastAsia" w:ascii="宋体"/>
                <w:sz w:val="12"/>
                <w:szCs w:val="12"/>
              </w:rPr>
            </w:pPr>
          </w:p>
        </w:tc>
        <w:tc>
          <w:tcPr>
            <w:tcW w:w="1063"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开展两化融合评估诊断企业数</w:t>
            </w:r>
          </w:p>
        </w:tc>
        <w:tc>
          <w:tcPr>
            <w:tcW w:w="2298"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依托具备资质的第三方机构开展两化融合评估诊断企业数。</w:t>
            </w:r>
          </w:p>
        </w:tc>
        <w:tc>
          <w:tcPr>
            <w:tcW w:w="605" w:type="pct"/>
            <w:vMerge w:val="continue"/>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rPr>
                <w:rFonts w:hint="eastAsia" w:ascii="宋体"/>
                <w:sz w:val="12"/>
                <w:szCs w:val="12"/>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830" w:hRule="atLeast"/>
        </w:trPr>
        <w:tc>
          <w:tcPr>
            <w:tcW w:w="544"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13</w:t>
            </w:r>
          </w:p>
        </w:tc>
        <w:tc>
          <w:tcPr>
            <w:tcW w:w="487" w:type="pct"/>
            <w:vMerge w:val="continue"/>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rPr>
                <w:rFonts w:hint="eastAsia" w:ascii="宋体"/>
                <w:sz w:val="12"/>
                <w:szCs w:val="12"/>
              </w:rPr>
            </w:pPr>
          </w:p>
        </w:tc>
        <w:tc>
          <w:tcPr>
            <w:tcW w:w="1063"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规上工业企业数字化设备联网率</w:t>
            </w:r>
          </w:p>
        </w:tc>
        <w:tc>
          <w:tcPr>
            <w:tcW w:w="2298"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规上工业企业数字化设备联网率=园区内规上工业企业联网的数字化设备数/园区内规上工业企业数字化设备总数*100%。</w:t>
            </w:r>
          </w:p>
        </w:tc>
        <w:tc>
          <w:tcPr>
            <w:tcW w:w="605" w:type="pct"/>
            <w:vMerge w:val="continue"/>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rPr>
                <w:rFonts w:hint="eastAsia" w:ascii="宋体"/>
                <w:sz w:val="12"/>
                <w:szCs w:val="12"/>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640" w:hRule="atLeast"/>
        </w:trPr>
        <w:tc>
          <w:tcPr>
            <w:tcW w:w="544"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14</w:t>
            </w:r>
          </w:p>
        </w:tc>
        <w:tc>
          <w:tcPr>
            <w:tcW w:w="487" w:type="pct"/>
            <w:vMerge w:val="continue"/>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rPr>
                <w:rFonts w:hint="eastAsia" w:ascii="宋体"/>
                <w:sz w:val="12"/>
                <w:szCs w:val="12"/>
              </w:rPr>
            </w:pPr>
          </w:p>
        </w:tc>
        <w:tc>
          <w:tcPr>
            <w:tcW w:w="1063"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园区工业互联网公共服务平台月平均活跃用户数</w:t>
            </w:r>
          </w:p>
        </w:tc>
        <w:tc>
          <w:tcPr>
            <w:tcW w:w="2298"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园区工业互联网公共服务平台近三个月平均的月活跃用户数。</w:t>
            </w:r>
          </w:p>
        </w:tc>
        <w:tc>
          <w:tcPr>
            <w:tcW w:w="605" w:type="pct"/>
            <w:vMerge w:val="continue"/>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rPr>
                <w:rFonts w:hint="eastAsia" w:ascii="宋体"/>
                <w:sz w:val="12"/>
                <w:szCs w:val="12"/>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1030" w:hRule="atLeast"/>
        </w:trPr>
        <w:tc>
          <w:tcPr>
            <w:tcW w:w="544"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15</w:t>
            </w:r>
          </w:p>
        </w:tc>
        <w:tc>
          <w:tcPr>
            <w:tcW w:w="487" w:type="pct"/>
            <w:vMerge w:val="continue"/>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rPr>
                <w:rFonts w:hint="eastAsia" w:ascii="宋体"/>
                <w:sz w:val="12"/>
                <w:szCs w:val="12"/>
              </w:rPr>
            </w:pPr>
          </w:p>
        </w:tc>
        <w:tc>
          <w:tcPr>
            <w:tcW w:w="1063"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企业与国家“双跨”平台合作情况</w:t>
            </w:r>
          </w:p>
        </w:tc>
        <w:tc>
          <w:tcPr>
            <w:tcW w:w="2298"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园区内企业与海尔卡奥斯、浪潮云洲、蓝海、橙色云等国家级“双跨”平台的合作情况，包括共建行业平台、企业平台，联合研发解决方案、工业APP，开展产线数字化升级改造等。</w:t>
            </w:r>
          </w:p>
        </w:tc>
        <w:tc>
          <w:tcPr>
            <w:tcW w:w="605" w:type="pct"/>
            <w:vMerge w:val="continue"/>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rPr>
                <w:rFonts w:hint="eastAsia" w:ascii="宋体"/>
                <w:sz w:val="12"/>
                <w:szCs w:val="12"/>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630" w:hRule="atLeast"/>
        </w:trPr>
        <w:tc>
          <w:tcPr>
            <w:tcW w:w="544"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16</w:t>
            </w:r>
          </w:p>
        </w:tc>
        <w:tc>
          <w:tcPr>
            <w:tcW w:w="487" w:type="pct"/>
            <w:vMerge w:val="restar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发展</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生态</w:t>
            </w:r>
          </w:p>
        </w:tc>
        <w:tc>
          <w:tcPr>
            <w:tcW w:w="1063"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园区开展的工业互联网领域的投融资活动</w:t>
            </w:r>
          </w:p>
        </w:tc>
        <w:tc>
          <w:tcPr>
            <w:tcW w:w="2298"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园区内开展针对工业互联网的风险投资、私募基金、产业投资基金等产融结合活动情况。</w:t>
            </w:r>
          </w:p>
        </w:tc>
        <w:tc>
          <w:tcPr>
            <w:tcW w:w="605" w:type="pct"/>
            <w:vMerge w:val="restar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10%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630" w:hRule="atLeast"/>
        </w:trPr>
        <w:tc>
          <w:tcPr>
            <w:tcW w:w="544"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17</w:t>
            </w:r>
          </w:p>
        </w:tc>
        <w:tc>
          <w:tcPr>
            <w:tcW w:w="487" w:type="pct"/>
            <w:vMerge w:val="continue"/>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rPr>
                <w:rFonts w:hint="eastAsia" w:ascii="宋体"/>
                <w:sz w:val="12"/>
                <w:szCs w:val="12"/>
              </w:rPr>
            </w:pPr>
          </w:p>
        </w:tc>
        <w:tc>
          <w:tcPr>
            <w:tcW w:w="1063"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围绕工业互联网孵化育成的投融资情况</w:t>
            </w:r>
          </w:p>
        </w:tc>
        <w:tc>
          <w:tcPr>
            <w:tcW w:w="2298"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重点培育企业等获得政府资金、贷款、担保金额情况。</w:t>
            </w:r>
          </w:p>
        </w:tc>
        <w:tc>
          <w:tcPr>
            <w:tcW w:w="605" w:type="pct"/>
            <w:vMerge w:val="continue"/>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rPr>
                <w:rFonts w:hint="eastAsia" w:ascii="宋体"/>
                <w:sz w:val="12"/>
                <w:szCs w:val="12"/>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640" w:hRule="atLeast"/>
        </w:trPr>
        <w:tc>
          <w:tcPr>
            <w:tcW w:w="544"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18</w:t>
            </w:r>
          </w:p>
        </w:tc>
        <w:tc>
          <w:tcPr>
            <w:tcW w:w="487" w:type="pct"/>
            <w:vMerge w:val="continue"/>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rPr>
                <w:rFonts w:hint="eastAsia" w:ascii="宋体"/>
                <w:sz w:val="12"/>
                <w:szCs w:val="12"/>
              </w:rPr>
            </w:pPr>
          </w:p>
        </w:tc>
        <w:tc>
          <w:tcPr>
            <w:tcW w:w="1063"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面向工业互联网研发创新的联合实验室/专业研究机构</w:t>
            </w:r>
          </w:p>
        </w:tc>
        <w:tc>
          <w:tcPr>
            <w:tcW w:w="2298"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园区内面向工业互联网研发创新的市级以上政府部门认定的联合实验室/专业研究机构。</w:t>
            </w:r>
          </w:p>
        </w:tc>
        <w:tc>
          <w:tcPr>
            <w:tcW w:w="605" w:type="pct"/>
            <w:vMerge w:val="continue"/>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rPr>
                <w:rFonts w:hint="eastAsia" w:ascii="宋体"/>
                <w:sz w:val="12"/>
                <w:szCs w:val="12"/>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640" w:hRule="atLeast"/>
        </w:trPr>
        <w:tc>
          <w:tcPr>
            <w:tcW w:w="544"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19</w:t>
            </w:r>
          </w:p>
        </w:tc>
        <w:tc>
          <w:tcPr>
            <w:tcW w:w="487" w:type="pct"/>
            <w:vMerge w:val="continue"/>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rPr>
                <w:rFonts w:hint="eastAsia" w:ascii="宋体"/>
                <w:sz w:val="12"/>
                <w:szCs w:val="12"/>
              </w:rPr>
            </w:pPr>
          </w:p>
        </w:tc>
        <w:tc>
          <w:tcPr>
            <w:tcW w:w="1063"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工业互联网相关企业</w:t>
            </w:r>
          </w:p>
        </w:tc>
        <w:tc>
          <w:tcPr>
            <w:tcW w:w="2298"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主要包括工业互联网网络、标识解析、平台、工业软件与工业APP、工业大数据、工业互联网安全等企业。</w:t>
            </w:r>
          </w:p>
        </w:tc>
        <w:tc>
          <w:tcPr>
            <w:tcW w:w="605" w:type="pct"/>
            <w:vMerge w:val="continue"/>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rPr>
                <w:rFonts w:hint="eastAsia" w:ascii="宋体"/>
                <w:sz w:val="12"/>
                <w:szCs w:val="12"/>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30" w:hRule="atLeast"/>
        </w:trPr>
        <w:tc>
          <w:tcPr>
            <w:tcW w:w="544"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20</w:t>
            </w:r>
          </w:p>
        </w:tc>
        <w:tc>
          <w:tcPr>
            <w:tcW w:w="487" w:type="pct"/>
            <w:vMerge w:val="restar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政策</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措施</w:t>
            </w:r>
          </w:p>
        </w:tc>
        <w:tc>
          <w:tcPr>
            <w:tcW w:w="1063"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推进组织</w:t>
            </w:r>
          </w:p>
        </w:tc>
        <w:tc>
          <w:tcPr>
            <w:tcW w:w="2298"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园区成立的工业互联网领导小组或相关统筹协调机制。</w:t>
            </w:r>
          </w:p>
        </w:tc>
        <w:tc>
          <w:tcPr>
            <w:tcW w:w="605" w:type="pct"/>
            <w:vMerge w:val="restar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20%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630" w:hRule="atLeast"/>
        </w:trPr>
        <w:tc>
          <w:tcPr>
            <w:tcW w:w="544"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21</w:t>
            </w:r>
          </w:p>
        </w:tc>
        <w:tc>
          <w:tcPr>
            <w:tcW w:w="487" w:type="pct"/>
            <w:vMerge w:val="continue"/>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rPr>
                <w:rFonts w:hint="eastAsia" w:ascii="宋体"/>
                <w:sz w:val="12"/>
                <w:szCs w:val="12"/>
              </w:rPr>
            </w:pPr>
          </w:p>
        </w:tc>
        <w:tc>
          <w:tcPr>
            <w:tcW w:w="1063"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年度工业互联网相关工作规划、实施方案</w:t>
            </w:r>
          </w:p>
        </w:tc>
        <w:tc>
          <w:tcPr>
            <w:tcW w:w="2298"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园区制定并印发的本年度工业互联网相关工作规划、实施方案。</w:t>
            </w:r>
          </w:p>
        </w:tc>
        <w:tc>
          <w:tcPr>
            <w:tcW w:w="605" w:type="pct"/>
            <w:vMerge w:val="continue"/>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rPr>
                <w:rFonts w:hint="eastAsia" w:ascii="宋体"/>
                <w:sz w:val="12"/>
                <w:szCs w:val="12"/>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30" w:hRule="atLeast"/>
        </w:trPr>
        <w:tc>
          <w:tcPr>
            <w:tcW w:w="544"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22</w:t>
            </w:r>
          </w:p>
        </w:tc>
        <w:tc>
          <w:tcPr>
            <w:tcW w:w="487" w:type="pct"/>
            <w:vMerge w:val="continue"/>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rPr>
                <w:rFonts w:hint="eastAsia" w:ascii="宋体"/>
                <w:sz w:val="12"/>
                <w:szCs w:val="12"/>
              </w:rPr>
            </w:pPr>
          </w:p>
        </w:tc>
        <w:tc>
          <w:tcPr>
            <w:tcW w:w="1063"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工业互联网政策</w:t>
            </w:r>
          </w:p>
        </w:tc>
        <w:tc>
          <w:tcPr>
            <w:tcW w:w="2298"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市级政府制定的专门支持工业互联网园区建设的政策措施。</w:t>
            </w:r>
          </w:p>
        </w:tc>
        <w:tc>
          <w:tcPr>
            <w:tcW w:w="605" w:type="pct"/>
            <w:vMerge w:val="continue"/>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rPr>
                <w:rFonts w:hint="eastAsia" w:ascii="宋体"/>
                <w:sz w:val="12"/>
                <w:szCs w:val="12"/>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30" w:hRule="atLeast"/>
        </w:trPr>
        <w:tc>
          <w:tcPr>
            <w:tcW w:w="544"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23</w:t>
            </w:r>
          </w:p>
        </w:tc>
        <w:tc>
          <w:tcPr>
            <w:tcW w:w="487" w:type="pct"/>
            <w:vMerge w:val="continue"/>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rPr>
                <w:rFonts w:hint="eastAsia" w:ascii="宋体"/>
                <w:sz w:val="12"/>
                <w:szCs w:val="12"/>
              </w:rPr>
            </w:pPr>
          </w:p>
        </w:tc>
        <w:tc>
          <w:tcPr>
            <w:tcW w:w="1063"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工业互联网专项资金</w:t>
            </w:r>
          </w:p>
        </w:tc>
        <w:tc>
          <w:tcPr>
            <w:tcW w:w="2298"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市级、园区年度支持工业互联网园区建设的资金总额。</w:t>
            </w:r>
          </w:p>
        </w:tc>
        <w:tc>
          <w:tcPr>
            <w:tcW w:w="605" w:type="pct"/>
            <w:vMerge w:val="continue"/>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rPr>
                <w:rFonts w:hint="eastAsia" w:ascii="宋体"/>
                <w:sz w:val="12"/>
                <w:szCs w:val="12"/>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660" w:hRule="atLeast"/>
        </w:trPr>
        <w:tc>
          <w:tcPr>
            <w:tcW w:w="544"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24</w:t>
            </w:r>
          </w:p>
        </w:tc>
        <w:tc>
          <w:tcPr>
            <w:tcW w:w="487" w:type="pct"/>
            <w:vMerge w:val="continue"/>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rPr>
                <w:rFonts w:hint="eastAsia" w:ascii="宋体"/>
                <w:sz w:val="12"/>
                <w:szCs w:val="12"/>
              </w:rPr>
            </w:pPr>
          </w:p>
        </w:tc>
        <w:tc>
          <w:tcPr>
            <w:tcW w:w="1063"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园区人才培养、引进、激励机制和政策保障情况</w:t>
            </w:r>
          </w:p>
        </w:tc>
        <w:tc>
          <w:tcPr>
            <w:tcW w:w="2298"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园区对工业互联网领域人才的引进培育主要政策情况。</w:t>
            </w:r>
          </w:p>
        </w:tc>
        <w:tc>
          <w:tcPr>
            <w:tcW w:w="605" w:type="pct"/>
            <w:vMerge w:val="continue"/>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rPr>
                <w:rFonts w:hint="eastAsia" w:ascii="宋体"/>
                <w:sz w:val="12"/>
                <w:szCs w:val="12"/>
              </w:rPr>
            </w:pPr>
          </w:p>
        </w:tc>
      </w:tr>
    </w:tbl>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00" w:lineRule="atLeast"/>
        <w:ind w:left="0" w:right="0" w:firstLine="420"/>
        <w:jc w:val="left"/>
        <w:rPr>
          <w:rFonts w:hint="eastAsia" w:ascii="微软雅黑" w:hAnsi="微软雅黑" w:eastAsia="微软雅黑" w:cs="微软雅黑"/>
          <w:i w:val="0"/>
          <w:iCs w:val="0"/>
          <w:caps w:val="0"/>
          <w:color w:val="000000"/>
          <w:spacing w:val="0"/>
          <w:sz w:val="18"/>
          <w:szCs w:val="18"/>
        </w:rPr>
      </w:pPr>
      <w:r>
        <w:rPr>
          <w:rFonts w:hint="eastAsia" w:ascii="微软雅黑" w:hAnsi="微软雅黑" w:eastAsia="微软雅黑" w:cs="微软雅黑"/>
          <w:i w:val="0"/>
          <w:iCs w:val="0"/>
          <w:caps w:val="0"/>
          <w:color w:val="000000"/>
          <w:spacing w:val="0"/>
          <w:sz w:val="18"/>
          <w:szCs w:val="18"/>
          <w:bdr w:val="none" w:color="auto" w:sz="0" w:space="0"/>
          <w:shd w:val="clear" w:fill="FFFFFF"/>
        </w:rPr>
        <w:t>附件3</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00" w:lineRule="atLeast"/>
        <w:ind w:left="0" w:right="0" w:firstLine="420"/>
        <w:jc w:val="center"/>
        <w:rPr>
          <w:rFonts w:hint="eastAsia" w:ascii="微软雅黑" w:hAnsi="微软雅黑" w:eastAsia="微软雅黑" w:cs="微软雅黑"/>
          <w:i w:val="0"/>
          <w:iCs w:val="0"/>
          <w:caps w:val="0"/>
          <w:color w:val="000000"/>
          <w:spacing w:val="0"/>
          <w:sz w:val="18"/>
          <w:szCs w:val="18"/>
        </w:rPr>
      </w:pPr>
      <w:r>
        <w:rPr>
          <w:rFonts w:hint="eastAsia" w:ascii="微软雅黑" w:hAnsi="微软雅黑" w:eastAsia="微软雅黑" w:cs="微软雅黑"/>
          <w:i w:val="0"/>
          <w:iCs w:val="0"/>
          <w:caps w:val="0"/>
          <w:color w:val="000000"/>
          <w:spacing w:val="0"/>
          <w:sz w:val="18"/>
          <w:szCs w:val="18"/>
          <w:bdr w:val="none" w:color="auto" w:sz="0" w:space="0"/>
          <w:shd w:val="clear" w:fill="FFFFFF"/>
        </w:rPr>
        <w:t>山东省工业互联网标识解析二级节点评价指标体系</w:t>
      </w:r>
    </w:p>
    <w:tbl>
      <w:tblPr>
        <w:tblW w:w="4998" w:type="pct"/>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870"/>
        <w:gridCol w:w="1701"/>
        <w:gridCol w:w="3679"/>
        <w:gridCol w:w="1221"/>
        <w:gridCol w:w="972"/>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70" w:hRule="atLeast"/>
        </w:trPr>
        <w:tc>
          <w:tcPr>
            <w:tcW w:w="515" w:type="pct"/>
            <w:tcBorders>
              <w:top w:val="single" w:color="auto" w:sz="4" w:space="0"/>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序号</w:t>
            </w:r>
          </w:p>
        </w:tc>
        <w:tc>
          <w:tcPr>
            <w:tcW w:w="1007" w:type="pct"/>
            <w:tcBorders>
              <w:top w:val="single" w:color="auto" w:sz="4" w:space="0"/>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指标名称</w:t>
            </w:r>
          </w:p>
        </w:tc>
        <w:tc>
          <w:tcPr>
            <w:tcW w:w="2178" w:type="pct"/>
            <w:tcBorders>
              <w:top w:val="single" w:color="auto" w:sz="4" w:space="0"/>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指标说明</w:t>
            </w:r>
          </w:p>
        </w:tc>
        <w:tc>
          <w:tcPr>
            <w:tcW w:w="723" w:type="pct"/>
            <w:tcBorders>
              <w:top w:val="single" w:color="auto" w:sz="4" w:space="0"/>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数据来源</w:t>
            </w:r>
          </w:p>
        </w:tc>
        <w:tc>
          <w:tcPr>
            <w:tcW w:w="575" w:type="pct"/>
            <w:tcBorders>
              <w:top w:val="single" w:color="auto" w:sz="4" w:space="0"/>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权重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820" w:hRule="atLeast"/>
        </w:trPr>
        <w:tc>
          <w:tcPr>
            <w:tcW w:w="515"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1</w:t>
            </w:r>
          </w:p>
        </w:tc>
        <w:tc>
          <w:tcPr>
            <w:tcW w:w="1007"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标识注册量</w:t>
            </w:r>
          </w:p>
        </w:tc>
        <w:tc>
          <w:tcPr>
            <w:tcW w:w="2178"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国家顶级节点监测系统监测到的二级节点为接入企业节点分配的标识数量。</w:t>
            </w:r>
          </w:p>
        </w:tc>
        <w:tc>
          <w:tcPr>
            <w:tcW w:w="723"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中国信息通信研究院</w:t>
            </w:r>
          </w:p>
        </w:tc>
        <w:tc>
          <w:tcPr>
            <w:tcW w:w="575"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30%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820" w:hRule="atLeast"/>
        </w:trPr>
        <w:tc>
          <w:tcPr>
            <w:tcW w:w="515"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2</w:t>
            </w:r>
          </w:p>
        </w:tc>
        <w:tc>
          <w:tcPr>
            <w:tcW w:w="1007"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标识解析量</w:t>
            </w:r>
          </w:p>
        </w:tc>
        <w:tc>
          <w:tcPr>
            <w:tcW w:w="2178"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国家顶级节点监测系统监测到的二级节点为接入企业节点提供标识解析服务次数。</w:t>
            </w:r>
          </w:p>
        </w:tc>
        <w:tc>
          <w:tcPr>
            <w:tcW w:w="723"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中国信息通信研究院</w:t>
            </w:r>
          </w:p>
        </w:tc>
        <w:tc>
          <w:tcPr>
            <w:tcW w:w="575"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40%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880" w:hRule="atLeast"/>
        </w:trPr>
        <w:tc>
          <w:tcPr>
            <w:tcW w:w="515"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3</w:t>
            </w:r>
          </w:p>
        </w:tc>
        <w:tc>
          <w:tcPr>
            <w:tcW w:w="1007"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接入企业数</w:t>
            </w:r>
          </w:p>
        </w:tc>
        <w:tc>
          <w:tcPr>
            <w:tcW w:w="2178"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国家顶级节点监测系统监测到的二级节点为接入企业节点分配的前缀数量。</w:t>
            </w:r>
          </w:p>
        </w:tc>
        <w:tc>
          <w:tcPr>
            <w:tcW w:w="723"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中国信息通信研究院</w:t>
            </w:r>
          </w:p>
        </w:tc>
        <w:tc>
          <w:tcPr>
            <w:tcW w:w="575"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10%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890" w:hRule="atLeast"/>
        </w:trPr>
        <w:tc>
          <w:tcPr>
            <w:tcW w:w="515"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4</w:t>
            </w:r>
          </w:p>
        </w:tc>
        <w:tc>
          <w:tcPr>
            <w:tcW w:w="1007"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节点建设应用情况</w:t>
            </w:r>
          </w:p>
        </w:tc>
        <w:tc>
          <w:tcPr>
            <w:tcW w:w="2178"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主要包括节点建设内容、总体技术路线、核心关键技术、应用集成和推进情况、商业模式及经济效益、潜在风险分析及对策等方面内容。</w:t>
            </w:r>
          </w:p>
        </w:tc>
        <w:tc>
          <w:tcPr>
            <w:tcW w:w="723"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企业填报</w:t>
            </w:r>
          </w:p>
        </w:tc>
        <w:tc>
          <w:tcPr>
            <w:tcW w:w="575" w:type="pct"/>
            <w:tcBorders>
              <w:top w:val="nil"/>
              <w:left w:val="single" w:color="auto" w:sz="4" w:space="0"/>
              <w:bottom w:val="single" w:color="auto" w:sz="4" w:space="0"/>
              <w:right w:val="single" w:color="auto" w:sz="4" w:space="0"/>
            </w:tcBorders>
            <w:shd w:val="clear"/>
            <w:tcMar>
              <w:top w:w="0" w:type="dxa"/>
              <w:left w:w="70" w:type="dxa"/>
              <w:bottom w:w="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00" w:lineRule="atLeast"/>
              <w:ind w:left="0" w:right="0"/>
              <w:jc w:val="left"/>
              <w:rPr>
                <w:sz w:val="18"/>
                <w:szCs w:val="18"/>
              </w:rPr>
            </w:pPr>
            <w:r>
              <w:rPr>
                <w:sz w:val="18"/>
                <w:szCs w:val="18"/>
                <w:bdr w:val="none" w:color="auto" w:sz="0" w:space="0"/>
              </w:rPr>
              <w:t>20%</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16"/>
          <w:szCs w:val="16"/>
        </w:rPr>
      </w:pPr>
      <w:r>
        <w:rPr>
          <w:rFonts w:hint="eastAsia" w:ascii="微软雅黑" w:hAnsi="微软雅黑" w:eastAsia="微软雅黑" w:cs="微软雅黑"/>
          <w:i w:val="0"/>
          <w:iCs w:val="0"/>
          <w:caps w:val="0"/>
          <w:color w:val="000000"/>
          <w:spacing w:val="0"/>
          <w:kern w:val="0"/>
          <w:sz w:val="16"/>
          <w:szCs w:val="16"/>
          <w:bdr w:val="none" w:color="auto" w:sz="0" w:space="0"/>
          <w:shd w:val="clear" w:fill="FFFFFF"/>
          <w:lang w:val="en-US" w:eastAsia="zh-CN" w:bidi="ar"/>
        </w:rPr>
        <w:t>                                                                                                                                                                                                                                                              （联系人：高亮 ; 联系电话： 51782672）</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I0ZWMyOWJjZDFiZjg4YTcxNjJjMTQzNTgwYWQ3MDgifQ=="/>
  </w:docVars>
  <w:rsids>
    <w:rsidRoot w:val="07B3185F"/>
    <w:rsid w:val="07B3185F"/>
    <w:rsid w:val="3E0B7C1E"/>
    <w:rsid w:val="65FD1764"/>
    <w:rsid w:val="783F2B70"/>
    <w:rsid w:val="7EC845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outlineLvl w:val="0"/>
    </w:pPr>
    <w:rPr>
      <w:rFonts w:hint="eastAsia" w:ascii="宋体" w:hAnsi="宋体" w:eastAsia="黑体" w:cs="宋体"/>
      <w:b/>
      <w:bCs/>
      <w:kern w:val="44"/>
      <w:sz w:val="32"/>
      <w:szCs w:val="48"/>
      <w:lang w:bidi="ar"/>
    </w:rPr>
  </w:style>
  <w:style w:type="paragraph" w:styleId="3">
    <w:name w:val="heading 2"/>
    <w:basedOn w:val="1"/>
    <w:next w:val="1"/>
    <w:semiHidden/>
    <w:unhideWhenUsed/>
    <w:qFormat/>
    <w:uiPriority w:val="0"/>
    <w:pPr>
      <w:keepNext/>
      <w:keepLines/>
      <w:spacing w:before="260" w:beforeLines="0" w:beforeAutospacing="0" w:after="260" w:afterLines="0" w:afterAutospacing="0" w:line="413" w:lineRule="auto"/>
      <w:outlineLvl w:val="1"/>
    </w:pPr>
    <w:rPr>
      <w:rFonts w:ascii="Arial" w:hAnsi="Arial" w:eastAsia="楷体_GB2312"/>
      <w:b/>
      <w:sz w:val="32"/>
    </w:rPr>
  </w:style>
  <w:style w:type="paragraph" w:styleId="4">
    <w:name w:val="heading 4"/>
    <w:basedOn w:val="1"/>
    <w:next w:val="1"/>
    <w:semiHidden/>
    <w:unhideWhenUsed/>
    <w:qFormat/>
    <w:uiPriority w:val="0"/>
    <w:pPr>
      <w:keepNext/>
      <w:keepLines/>
      <w:spacing w:before="280" w:beforeLines="0" w:beforeAutospacing="0" w:after="290" w:afterLines="0" w:afterAutospacing="0" w:line="372" w:lineRule="auto"/>
      <w:outlineLvl w:val="3"/>
    </w:pPr>
    <w:rPr>
      <w:rFonts w:ascii="Arial" w:hAnsi="Arial" w:eastAsia="仿宋_GB2312"/>
      <w:sz w:val="28"/>
    </w:rPr>
  </w:style>
  <w:style w:type="character" w:default="1" w:styleId="7">
    <w:name w:val="Default Paragraph Font"/>
    <w:semiHidden/>
    <w:qFormat/>
    <w:uiPriority w:val="0"/>
  </w:style>
  <w:style w:type="table" w:default="1" w:styleId="6">
    <w:name w:val="Normal Table"/>
    <w:semiHidden/>
    <w:uiPriority w:val="0"/>
    <w:tblPr>
      <w:tblCellMar>
        <w:top w:w="0" w:type="dxa"/>
        <w:left w:w="108" w:type="dxa"/>
        <w:bottom w:w="0" w:type="dxa"/>
        <w:right w:w="108" w:type="dxa"/>
      </w:tblCellMar>
    </w:tbl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2022-11-07T04:59:00Z</dcterms:created>
  <dc:creator>高腾Cynthia GAO</dc:creator>
  <cp:lastModifiedBy>高腾Cynthia GAO</cp:lastModifiedBy>
  <dcterms:modified xsi:type="dcterms:W3CDTF">2022-11-07T05:00:25Z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FA681620CF3E4768B9D44D789F6A4E64</vt:lpwstr>
  </property>
</Properties>
</file>